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637" w:rsidRDefault="00730637" w:rsidP="000A2C11">
      <w:pPr>
        <w:pStyle w:val="Heading2"/>
      </w:pPr>
      <w:r>
        <w:t>CITY OF OWOSSO</w:t>
      </w:r>
    </w:p>
    <w:p w:rsidR="00A3556E" w:rsidRDefault="00A3556E" w:rsidP="000A2C11">
      <w:pPr>
        <w:pStyle w:val="Heading2"/>
      </w:pPr>
      <w:r w:rsidRPr="009C3AA1">
        <w:t>E</w:t>
      </w:r>
      <w:r w:rsidR="009C3AA1" w:rsidRPr="009C3AA1">
        <w:t>MPLOYEES</w:t>
      </w:r>
      <w:r w:rsidR="00BD6886">
        <w:t>’</w:t>
      </w:r>
      <w:r w:rsidR="009C3AA1" w:rsidRPr="009C3AA1">
        <w:t xml:space="preserve"> RETIREMENT SYSTEM BOARD</w:t>
      </w:r>
      <w:r w:rsidR="00BD6886">
        <w:t xml:space="preserve"> OF TRUSTEES</w:t>
      </w:r>
    </w:p>
    <w:p w:rsidR="00BD6886" w:rsidRDefault="00BD6886" w:rsidP="000A2C11">
      <w:pPr>
        <w:pStyle w:val="Heading2"/>
      </w:pPr>
      <w:r>
        <w:t>REGULAR MEETING</w:t>
      </w:r>
    </w:p>
    <w:p w:rsidR="00674D6F" w:rsidRPr="009C3AA1" w:rsidRDefault="00674D6F" w:rsidP="000A2C11">
      <w:pPr>
        <w:pStyle w:val="Heading2"/>
      </w:pPr>
      <w:r>
        <w:t>OWOSSO CITY HALL COUNCIL CHAMBER</w:t>
      </w:r>
    </w:p>
    <w:p w:rsidR="009C3AA1" w:rsidRPr="009C3AA1" w:rsidRDefault="009C3AA1" w:rsidP="004806E1">
      <w:pPr>
        <w:jc w:val="center"/>
        <w:rPr>
          <w:b/>
        </w:rPr>
      </w:pPr>
    </w:p>
    <w:bookmarkStart w:id="0" w:name="MeetingDate"/>
    <w:p w:rsidR="009C3AA1" w:rsidRPr="009C3AA1" w:rsidRDefault="004D5A85" w:rsidP="004806E1">
      <w:pPr>
        <w:rPr>
          <w:b/>
        </w:rPr>
      </w:pPr>
      <w:sdt>
        <w:sdtPr>
          <w:rPr>
            <w:rStyle w:val="Heading2Char"/>
          </w:rPr>
          <w:alias w:val="MeetingDate"/>
          <w:tag w:val="MeetingDate"/>
          <w:id w:val="556829941"/>
          <w:placeholder>
            <w:docPart w:val="175A235C16B44BB4BD96E2FD20339A36"/>
          </w:placeholder>
          <w:date w:fullDate="2018-10-24T00:00:00Z">
            <w:dateFormat w:val="MMMM d, yyyy"/>
            <w:lid w:val="en-US"/>
            <w:storeMappedDataAs w:val="dateTime"/>
            <w:calendar w:val="gregorian"/>
          </w:date>
        </w:sdtPr>
        <w:sdtEndPr>
          <w:rPr>
            <w:rStyle w:val="Heading2Char"/>
          </w:rPr>
        </w:sdtEndPr>
        <w:sdtContent>
          <w:r w:rsidR="00405B33">
            <w:rPr>
              <w:rStyle w:val="Heading2Char"/>
            </w:rPr>
            <w:t>October 24, 2018</w:t>
          </w:r>
        </w:sdtContent>
      </w:sdt>
      <w:bookmarkEnd w:id="0"/>
      <w:r w:rsidR="009C3AA1" w:rsidRPr="000A2C11">
        <w:rPr>
          <w:rStyle w:val="Heading2Char"/>
        </w:rPr>
        <w:tab/>
      </w:r>
      <w:r w:rsidR="009C3AA1" w:rsidRPr="009C3AA1">
        <w:rPr>
          <w:b/>
        </w:rPr>
        <w:tab/>
      </w:r>
      <w:r w:rsidR="009C3AA1" w:rsidRPr="009C3AA1">
        <w:rPr>
          <w:b/>
        </w:rPr>
        <w:tab/>
      </w:r>
      <w:r w:rsidR="009C3AA1" w:rsidRPr="009C3AA1">
        <w:rPr>
          <w:b/>
        </w:rPr>
        <w:tab/>
      </w:r>
      <w:r w:rsidR="009C3AA1" w:rsidRPr="009C3AA1">
        <w:rPr>
          <w:b/>
        </w:rPr>
        <w:tab/>
      </w:r>
      <w:r w:rsidR="009C3AA1" w:rsidRPr="009C3AA1">
        <w:rPr>
          <w:b/>
        </w:rPr>
        <w:tab/>
      </w:r>
      <w:r w:rsidR="009C3AA1" w:rsidRPr="009C3AA1">
        <w:rPr>
          <w:b/>
        </w:rPr>
        <w:tab/>
      </w:r>
      <w:r w:rsidR="009C3AA1" w:rsidRPr="009C3AA1">
        <w:rPr>
          <w:b/>
        </w:rPr>
        <w:tab/>
      </w:r>
      <w:r w:rsidR="009C3AA1" w:rsidRPr="009C3AA1">
        <w:rPr>
          <w:b/>
        </w:rPr>
        <w:tab/>
      </w:r>
      <w:r w:rsidR="009C3AA1" w:rsidRPr="000A2C11">
        <w:rPr>
          <w:rStyle w:val="Heading2Char"/>
        </w:rPr>
        <w:t>7:</w:t>
      </w:r>
      <w:r w:rsidR="00E07401" w:rsidRPr="000A2C11">
        <w:rPr>
          <w:rStyle w:val="Heading2Char"/>
        </w:rPr>
        <w:t>1</w:t>
      </w:r>
      <w:r w:rsidR="00F66B94" w:rsidRPr="000A2C11">
        <w:rPr>
          <w:rStyle w:val="Heading2Char"/>
        </w:rPr>
        <w:t xml:space="preserve">5 </w:t>
      </w:r>
      <w:r w:rsidR="009C3AA1" w:rsidRPr="000A2C11">
        <w:rPr>
          <w:rStyle w:val="Heading2Char"/>
        </w:rPr>
        <w:t>AM</w:t>
      </w:r>
    </w:p>
    <w:p w:rsidR="00A3556E" w:rsidRPr="009C3AA1" w:rsidRDefault="00A3556E" w:rsidP="004806E1"/>
    <w:p w:rsidR="00A3556E" w:rsidRDefault="00A3556E" w:rsidP="000A2C11">
      <w:pPr>
        <w:pStyle w:val="Heading1"/>
      </w:pPr>
      <w:r w:rsidRPr="009C3AA1">
        <w:t>CALL MEETING TO ORDER:</w:t>
      </w:r>
    </w:p>
    <w:p w:rsidR="009C3AA1" w:rsidRDefault="009C3AA1" w:rsidP="004806E1">
      <w:pPr>
        <w:rPr>
          <w:b/>
        </w:rPr>
      </w:pPr>
    </w:p>
    <w:p w:rsidR="009C3AA1" w:rsidRPr="00D4519B" w:rsidRDefault="00127BA1" w:rsidP="004806E1">
      <w:r w:rsidRPr="00D4519B">
        <w:t xml:space="preserve">Chairperson </w:t>
      </w:r>
      <w:r w:rsidR="00EB3817" w:rsidRPr="00D4519B">
        <w:t xml:space="preserve">Farrell </w:t>
      </w:r>
      <w:r w:rsidR="009C3AA1" w:rsidRPr="00D4519B">
        <w:t>called the meeting to order at 7:</w:t>
      </w:r>
      <w:r w:rsidR="00D4519B" w:rsidRPr="00D4519B">
        <w:t>23</w:t>
      </w:r>
      <w:r w:rsidR="009C3AA1" w:rsidRPr="00D4519B">
        <w:t xml:space="preserve"> a.m.</w:t>
      </w:r>
    </w:p>
    <w:p w:rsidR="00A3556E" w:rsidRPr="00AE3550" w:rsidRDefault="00A3556E" w:rsidP="004806E1">
      <w:pPr>
        <w:rPr>
          <w:b/>
        </w:rPr>
      </w:pPr>
    </w:p>
    <w:p w:rsidR="00A3556E" w:rsidRPr="00AE3550" w:rsidRDefault="00A3556E" w:rsidP="000A2C11">
      <w:pPr>
        <w:pStyle w:val="Heading1"/>
      </w:pPr>
      <w:r w:rsidRPr="00AE3550">
        <w:t>ROLL CALL:</w:t>
      </w:r>
    </w:p>
    <w:p w:rsidR="009C3AA1" w:rsidRPr="00AE3550" w:rsidRDefault="009C3AA1" w:rsidP="004806E1">
      <w:pPr>
        <w:rPr>
          <w:b/>
        </w:rPr>
      </w:pPr>
    </w:p>
    <w:p w:rsidR="000D0ECE" w:rsidRPr="000B5C94" w:rsidRDefault="00D473DA" w:rsidP="000D0ECE">
      <w:pPr>
        <w:ind w:left="1440" w:hanging="1440"/>
      </w:pPr>
      <w:r w:rsidRPr="00AE3550">
        <w:rPr>
          <w:b/>
        </w:rPr>
        <w:t>PRESENT:</w:t>
      </w:r>
      <w:r w:rsidRPr="00AE3550">
        <w:rPr>
          <w:b/>
        </w:rPr>
        <w:tab/>
      </w:r>
      <w:r w:rsidR="000D0ECE" w:rsidRPr="000B5C94">
        <w:t>Trustee</w:t>
      </w:r>
      <w:r w:rsidR="000D0ECE">
        <w:t>s</w:t>
      </w:r>
      <w:r w:rsidR="000D0ECE" w:rsidRPr="000B5C94">
        <w:t xml:space="preserve"> </w:t>
      </w:r>
      <w:r w:rsidR="000D0ECE">
        <w:t xml:space="preserve">Richard Brewbaker, Elaine Greenway, </w:t>
      </w:r>
      <w:r w:rsidR="00E821A2">
        <w:t xml:space="preserve">Douglas Morrice, </w:t>
      </w:r>
      <w:r w:rsidR="000D0ECE">
        <w:t xml:space="preserve">Vice Chairperson </w:t>
      </w:r>
      <w:r w:rsidR="00E821A2">
        <w:t>Mark Mitchell</w:t>
      </w:r>
      <w:r w:rsidR="000D0ECE">
        <w:t>, and</w:t>
      </w:r>
      <w:r w:rsidR="000D0ECE" w:rsidRPr="000B5C94">
        <w:t xml:space="preserve"> </w:t>
      </w:r>
      <w:r w:rsidR="000D0ECE">
        <w:t>Chairperson Wilfred Farrell.</w:t>
      </w:r>
      <w:r w:rsidR="00C763B0">
        <w:t xml:space="preserve">  (One vacancy)</w:t>
      </w:r>
    </w:p>
    <w:p w:rsidR="00D473DA" w:rsidRPr="00AE3550" w:rsidRDefault="00D473DA" w:rsidP="00D473DA">
      <w:pPr>
        <w:ind w:left="1440" w:hanging="1440"/>
        <w:rPr>
          <w:b/>
        </w:rPr>
      </w:pPr>
    </w:p>
    <w:p w:rsidR="00D473DA" w:rsidRPr="00EB3817" w:rsidRDefault="00D473DA" w:rsidP="00D473DA">
      <w:pPr>
        <w:ind w:left="1440" w:hanging="1440"/>
      </w:pPr>
      <w:r w:rsidRPr="00AE3550">
        <w:rPr>
          <w:b/>
        </w:rPr>
        <w:t>ABSENT:</w:t>
      </w:r>
      <w:r w:rsidRPr="00AE3550">
        <w:rPr>
          <w:b/>
        </w:rPr>
        <w:tab/>
      </w:r>
      <w:r w:rsidR="00D4519B" w:rsidRPr="00D4519B">
        <w:t xml:space="preserve">Trustee </w:t>
      </w:r>
      <w:r w:rsidR="00D4519B">
        <w:t>Andrew Reed</w:t>
      </w:r>
      <w:r>
        <w:t xml:space="preserve">.  </w:t>
      </w:r>
    </w:p>
    <w:p w:rsidR="00D473DA" w:rsidRPr="00AE3550" w:rsidRDefault="00D473DA" w:rsidP="00D473DA">
      <w:pPr>
        <w:ind w:left="1440" w:hanging="1440"/>
        <w:rPr>
          <w:b/>
        </w:rPr>
      </w:pPr>
    </w:p>
    <w:p w:rsidR="00D473DA" w:rsidRPr="00AE3550" w:rsidRDefault="00D473DA" w:rsidP="00D473DA">
      <w:pPr>
        <w:ind w:left="1440" w:hanging="1440"/>
        <w:rPr>
          <w:b/>
        </w:rPr>
      </w:pPr>
      <w:r w:rsidRPr="00AE3550">
        <w:rPr>
          <w:b/>
        </w:rPr>
        <w:t>ALSO</w:t>
      </w:r>
    </w:p>
    <w:p w:rsidR="00D473DA" w:rsidRDefault="00D473DA" w:rsidP="00D473DA">
      <w:pPr>
        <w:ind w:left="1440" w:hanging="1440"/>
      </w:pPr>
      <w:r w:rsidRPr="00AE3550">
        <w:rPr>
          <w:b/>
        </w:rPr>
        <w:t>PRESENT:</w:t>
      </w:r>
      <w:r w:rsidRPr="00AE3550">
        <w:rPr>
          <w:b/>
        </w:rPr>
        <w:tab/>
      </w:r>
      <w:r w:rsidR="0031414C">
        <w:t>Graystone Analyst Erik Burger; City Treasurer Katherine R. Fagan; City Attorney Scott J. Gould; and City Clerk Amy K. Kirkland</w:t>
      </w:r>
      <w:r w:rsidR="001E7DED">
        <w:t>.</w:t>
      </w:r>
    </w:p>
    <w:p w:rsidR="003D3B99" w:rsidRPr="000B5C94" w:rsidRDefault="003D3B99" w:rsidP="004806E1">
      <w:pPr>
        <w:ind w:left="1440" w:hanging="1440"/>
      </w:pPr>
    </w:p>
    <w:p w:rsidR="00A3556E" w:rsidRDefault="00A3556E" w:rsidP="000A2C11">
      <w:pPr>
        <w:pStyle w:val="Heading1"/>
      </w:pPr>
      <w:r w:rsidRPr="00335107">
        <w:t>APPROVE AGENDA:</w:t>
      </w:r>
    </w:p>
    <w:p w:rsidR="000B5C94" w:rsidRDefault="000B5C94" w:rsidP="004806E1">
      <w:pPr>
        <w:rPr>
          <w:b/>
        </w:rPr>
      </w:pPr>
    </w:p>
    <w:p w:rsidR="000B5C94" w:rsidRDefault="000B5C94" w:rsidP="004806E1">
      <w:r>
        <w:t xml:space="preserve">Motion by </w:t>
      </w:r>
      <w:sdt>
        <w:sdtPr>
          <w:alias w:val="Name"/>
          <w:tag w:val="Name"/>
          <w:id w:val="1691572500"/>
          <w:placeholder>
            <w:docPart w:val="105B4DC2694C40DD8C4E0D1E4B9131FD"/>
          </w:placeholder>
          <w:dropDownList>
            <w:listItem w:displayText="Trustee Brewbaker" w:value="Trustee Brewbaker"/>
            <w:listItem w:displayText="Trustee Fox" w:value="Trustee Fox"/>
            <w:listItem w:displayText="Trustee Greenway" w:value="Trustee Greenway"/>
            <w:listItem w:displayText="Trustee Morrice" w:value="Trustee Morrice"/>
            <w:listItem w:displayText="Trustee Reed" w:value="Trustee Reed"/>
            <w:listItem w:displayText="Vice Chairperson Mitchell" w:value="Vice Chairperson Mitchell"/>
            <w:listItem w:displayText="Chairperson Farrell" w:value="Chairperson Farrell"/>
          </w:dropDownList>
        </w:sdtPr>
        <w:sdtEndPr/>
        <w:sdtContent>
          <w:r w:rsidR="00D4519B">
            <w:t>Trustee Brewbaker</w:t>
          </w:r>
        </w:sdtContent>
      </w:sdt>
      <w:r>
        <w:t xml:space="preserve">to </w:t>
      </w:r>
      <w:r w:rsidR="00EB3817">
        <w:t xml:space="preserve">approve the Agenda </w:t>
      </w:r>
      <w:r w:rsidR="00BD09B1">
        <w:t xml:space="preserve">with the following </w:t>
      </w:r>
      <w:r w:rsidR="00D4519B">
        <w:t>clarification to the payment to Morgan Stanley for consulting services</w:t>
      </w:r>
      <w:r w:rsidR="00BD09B1">
        <w:t>:</w:t>
      </w:r>
    </w:p>
    <w:p w:rsidR="00BD09B1" w:rsidRDefault="00BD09B1" w:rsidP="004806E1"/>
    <w:p w:rsidR="00D4519B" w:rsidRPr="00D4519B" w:rsidRDefault="00D4519B" w:rsidP="00D4519B">
      <w:pPr>
        <w:numPr>
          <w:ilvl w:val="0"/>
          <w:numId w:val="10"/>
        </w:numPr>
        <w:tabs>
          <w:tab w:val="num" w:pos="720"/>
          <w:tab w:val="left" w:pos="6120"/>
          <w:tab w:val="right" w:pos="7200"/>
        </w:tabs>
        <w:ind w:left="720"/>
        <w:rPr>
          <w:u w:val="single"/>
        </w:rPr>
      </w:pPr>
      <w:r w:rsidRPr="00D4519B">
        <w:rPr>
          <w:u w:val="single"/>
        </w:rPr>
        <w:t>Morgan Stanley – Graystone Consulting</w:t>
      </w:r>
    </w:p>
    <w:p w:rsidR="00D4519B" w:rsidRPr="00D4519B" w:rsidRDefault="00D4519B" w:rsidP="00D4519B">
      <w:pPr>
        <w:tabs>
          <w:tab w:val="num" w:pos="720"/>
          <w:tab w:val="left" w:pos="5940"/>
          <w:tab w:val="right" w:pos="7200"/>
        </w:tabs>
        <w:ind w:left="720"/>
      </w:pPr>
      <w:r w:rsidRPr="00D4519B">
        <w:t>For period 10/01/2018 through 12/31/2018</w:t>
      </w:r>
      <w:r w:rsidRPr="00D4519B">
        <w:tab/>
        <w:t>$</w:t>
      </w:r>
      <w:r w:rsidRPr="00D4519B">
        <w:tab/>
        <w:t>34,104.66</w:t>
      </w:r>
    </w:p>
    <w:p w:rsidR="00D4519B" w:rsidRPr="00D4519B" w:rsidRDefault="00D4519B" w:rsidP="00D4519B">
      <w:pPr>
        <w:tabs>
          <w:tab w:val="num" w:pos="720"/>
          <w:tab w:val="left" w:pos="3600"/>
          <w:tab w:val="right" w:pos="4680"/>
          <w:tab w:val="left" w:pos="6120"/>
        </w:tabs>
        <w:ind w:left="1080"/>
      </w:pPr>
      <w:r w:rsidRPr="00D4519B">
        <w:t>Consulting Fee</w:t>
      </w:r>
      <w:r w:rsidRPr="00D4519B">
        <w:tab/>
        <w:t>$</w:t>
      </w:r>
      <w:r w:rsidRPr="00D4519B">
        <w:tab/>
        <w:t>17,737.66</w:t>
      </w:r>
    </w:p>
    <w:p w:rsidR="00D4519B" w:rsidRPr="00D4519B" w:rsidRDefault="00D4519B" w:rsidP="00D4519B">
      <w:pPr>
        <w:tabs>
          <w:tab w:val="num" w:pos="720"/>
          <w:tab w:val="left" w:pos="3600"/>
          <w:tab w:val="right" w:pos="4680"/>
          <w:tab w:val="left" w:pos="6120"/>
        </w:tabs>
        <w:ind w:left="1080"/>
      </w:pPr>
      <w:r w:rsidRPr="00D4519B">
        <w:t>Mgr Fee – Aristotle</w:t>
      </w:r>
      <w:r w:rsidRPr="00D4519B">
        <w:tab/>
        <w:t>$</w:t>
      </w:r>
      <w:r w:rsidRPr="00D4519B">
        <w:tab/>
        <w:t>5,485.70</w:t>
      </w:r>
    </w:p>
    <w:p w:rsidR="00D4519B" w:rsidRPr="00D4519B" w:rsidRDefault="00D4519B" w:rsidP="00D4519B">
      <w:pPr>
        <w:tabs>
          <w:tab w:val="num" w:pos="720"/>
          <w:tab w:val="left" w:pos="3600"/>
          <w:tab w:val="right" w:pos="4680"/>
          <w:tab w:val="left" w:pos="6120"/>
        </w:tabs>
        <w:ind w:left="1080"/>
      </w:pPr>
      <w:r w:rsidRPr="00D4519B">
        <w:t>Mgr Fee – Atlanta</w:t>
      </w:r>
      <w:r w:rsidRPr="00D4519B">
        <w:tab/>
        <w:t>$</w:t>
      </w:r>
      <w:r w:rsidRPr="00D4519B">
        <w:tab/>
        <w:t>2,278.95</w:t>
      </w:r>
    </w:p>
    <w:p w:rsidR="00D4519B" w:rsidRPr="00D4519B" w:rsidRDefault="00D4519B" w:rsidP="00D4519B">
      <w:pPr>
        <w:tabs>
          <w:tab w:val="num" w:pos="720"/>
          <w:tab w:val="left" w:pos="3600"/>
          <w:tab w:val="right" w:pos="4680"/>
          <w:tab w:val="left" w:pos="6120"/>
        </w:tabs>
        <w:ind w:left="1080"/>
      </w:pPr>
      <w:r w:rsidRPr="00D4519B">
        <w:t>Mgr Fee – Causeway</w:t>
      </w:r>
      <w:r w:rsidRPr="00D4519B">
        <w:tab/>
        <w:t>$</w:t>
      </w:r>
      <w:r w:rsidRPr="00D4519B">
        <w:tab/>
        <w:t>2,528.24</w:t>
      </w:r>
    </w:p>
    <w:p w:rsidR="00D4519B" w:rsidRPr="00D4519B" w:rsidRDefault="00D4519B" w:rsidP="00D4519B">
      <w:pPr>
        <w:tabs>
          <w:tab w:val="num" w:pos="720"/>
          <w:tab w:val="left" w:pos="3600"/>
          <w:tab w:val="right" w:pos="4680"/>
          <w:tab w:val="left" w:pos="6120"/>
        </w:tabs>
        <w:ind w:left="1080"/>
      </w:pPr>
      <w:r w:rsidRPr="00D4519B">
        <w:t>Mgr Fee – Cushing</w:t>
      </w:r>
      <w:r w:rsidRPr="00D4519B">
        <w:tab/>
        <w:t>$</w:t>
      </w:r>
      <w:r w:rsidRPr="00D4519B">
        <w:tab/>
        <w:t>1,722.52</w:t>
      </w:r>
    </w:p>
    <w:p w:rsidR="00D4519B" w:rsidRPr="00D4519B" w:rsidRDefault="00D4519B" w:rsidP="00D4519B">
      <w:pPr>
        <w:tabs>
          <w:tab w:val="num" w:pos="720"/>
          <w:tab w:val="left" w:pos="3600"/>
          <w:tab w:val="right" w:pos="4680"/>
          <w:tab w:val="left" w:pos="6120"/>
        </w:tabs>
        <w:ind w:left="1080"/>
      </w:pPr>
      <w:r w:rsidRPr="00D4519B">
        <w:t>Mgr Fee – Harding</w:t>
      </w:r>
      <w:r w:rsidRPr="00D4519B">
        <w:tab/>
        <w:t>$</w:t>
      </w:r>
      <w:r w:rsidRPr="00D4519B">
        <w:tab/>
        <w:t>2,499.68</w:t>
      </w:r>
    </w:p>
    <w:p w:rsidR="00615CA9" w:rsidRPr="00D4519B" w:rsidRDefault="00D4519B" w:rsidP="00D4519B">
      <w:pPr>
        <w:ind w:left="360" w:firstLine="720"/>
      </w:pPr>
      <w:r w:rsidRPr="00D4519B">
        <w:t>MS UMA Fee</w:t>
      </w:r>
      <w:r w:rsidRPr="00D4519B">
        <w:tab/>
      </w:r>
      <w:r w:rsidRPr="00D4519B">
        <w:tab/>
        <w:t>$    1,851.91</w:t>
      </w:r>
    </w:p>
    <w:p w:rsidR="00EB3817" w:rsidRDefault="00EB3817" w:rsidP="004806E1"/>
    <w:p w:rsidR="000B5C94" w:rsidRPr="000B5C94" w:rsidRDefault="000B5C94" w:rsidP="004806E1">
      <w:r>
        <w:t>Motion supported by</w:t>
      </w:r>
      <w:r w:rsidR="00F56A43" w:rsidRPr="00F56A43">
        <w:t xml:space="preserve"> </w:t>
      </w:r>
      <w:sdt>
        <w:sdtPr>
          <w:alias w:val="Name"/>
          <w:tag w:val="Name"/>
          <w:id w:val="217019587"/>
          <w:placeholder>
            <w:docPart w:val="099D9474D90B47DF8776963A09DCA4DB"/>
          </w:placeholder>
          <w:dropDownList>
            <w:listItem w:displayText="Trustee Brewbaker" w:value="Trustee Brewbaker"/>
            <w:listItem w:displayText="Trustee Fox" w:value="Trustee Fox"/>
            <w:listItem w:displayText="Trustee Greenway" w:value="Trustee Greenway"/>
            <w:listItem w:displayText="Trustee Morrice" w:value="Trustee Morrice"/>
            <w:listItem w:displayText="Trustee Reed" w:value="Trustee Reed"/>
            <w:listItem w:displayText="Vice Chairperson Mitchell" w:value="Vice Chairperson Mitchell"/>
            <w:listItem w:displayText="Chairperson Farrell" w:value="Chairperson Farrell"/>
          </w:dropDownList>
        </w:sdtPr>
        <w:sdtEndPr/>
        <w:sdtContent>
          <w:r w:rsidR="00D4519B">
            <w:t>Trustee Morrice</w:t>
          </w:r>
        </w:sdtContent>
      </w:sdt>
      <w:r w:rsidR="00F56A43">
        <w:t xml:space="preserve"> </w:t>
      </w:r>
      <w:r>
        <w:t>and concurred in by unanimous vote.</w:t>
      </w:r>
    </w:p>
    <w:p w:rsidR="000350EC" w:rsidRPr="00AE3550" w:rsidRDefault="000350EC" w:rsidP="004806E1">
      <w:pPr>
        <w:rPr>
          <w:b/>
        </w:rPr>
      </w:pPr>
    </w:p>
    <w:p w:rsidR="000B5C94" w:rsidRDefault="00A3556E" w:rsidP="000A2C11">
      <w:pPr>
        <w:pStyle w:val="Heading1"/>
      </w:pPr>
      <w:r w:rsidRPr="00335107">
        <w:t xml:space="preserve">APPROVE MINUTES OF </w:t>
      </w:r>
      <w:bookmarkStart w:id="1" w:name="SpecialMeetingDate"/>
      <w:sdt>
        <w:sdtPr>
          <w:rPr>
            <w:rStyle w:val="Heading1Char"/>
            <w:b/>
            <w:i/>
            <w:caps/>
          </w:rPr>
          <w:alias w:val="Special Meeting Date"/>
          <w:tag w:val="Special Meeting Date"/>
          <w:id w:val="207847516"/>
          <w:placeholder>
            <w:docPart w:val="9EB2EB79E6F94473A5F3E71893F1CFC7"/>
          </w:placeholder>
          <w:date w:fullDate="2018-08-22T00:00:00Z">
            <w:dateFormat w:val="MMMM d, yyyy"/>
            <w:lid w:val="en-US"/>
            <w:storeMappedDataAs w:val="dateTime"/>
            <w:calendar w:val="gregorian"/>
          </w:date>
        </w:sdtPr>
        <w:sdtEndPr>
          <w:rPr>
            <w:rStyle w:val="Heading1Char"/>
          </w:rPr>
        </w:sdtEndPr>
        <w:sdtContent>
          <w:r w:rsidR="00D4519B">
            <w:rPr>
              <w:rStyle w:val="Heading1Char"/>
              <w:b/>
              <w:i/>
              <w:caps/>
            </w:rPr>
            <w:t>August 22, 2018</w:t>
          </w:r>
        </w:sdtContent>
      </w:sdt>
      <w:bookmarkEnd w:id="1"/>
      <w:r w:rsidR="00771240" w:rsidRPr="00335107">
        <w:t xml:space="preserve"> </w:t>
      </w:r>
      <w:r w:rsidR="00D4519B">
        <w:t>ORGANIZATIONAL</w:t>
      </w:r>
      <w:r w:rsidRPr="00335107">
        <w:t xml:space="preserve"> MEETING:</w:t>
      </w:r>
    </w:p>
    <w:p w:rsidR="00E07401" w:rsidRDefault="00E07401" w:rsidP="004806E1"/>
    <w:p w:rsidR="000B5C94" w:rsidRDefault="000B5C94" w:rsidP="004806E1">
      <w:r>
        <w:t>Motion by</w:t>
      </w:r>
      <w:r w:rsidR="00F56A43" w:rsidRPr="00F56A43">
        <w:t xml:space="preserve"> </w:t>
      </w:r>
      <w:sdt>
        <w:sdtPr>
          <w:alias w:val="Name"/>
          <w:tag w:val="Name"/>
          <w:id w:val="-915480395"/>
          <w:placeholder>
            <w:docPart w:val="63C12EBCFF3349D5B60386276E201F35"/>
          </w:placeholder>
          <w:dropDownList>
            <w:listItem w:displayText="Trustee Brewbaker" w:value="Trustee Brewbaker"/>
            <w:listItem w:displayText="Trustee Fox" w:value="Trustee Fox"/>
            <w:listItem w:displayText="Trustee Greenway" w:value="Trustee Greenway"/>
            <w:listItem w:displayText="Trustee Morrice" w:value="Trustee Morrice"/>
            <w:listItem w:displayText="Trustee Reed" w:value="Trustee Reed"/>
            <w:listItem w:displayText="Vice Chairperson Mitchell" w:value="Vice Chairperson Mitchell"/>
            <w:listItem w:displayText="Chairperson Farrell" w:value="Chairperson Farrell"/>
          </w:dropDownList>
        </w:sdtPr>
        <w:sdtEndPr/>
        <w:sdtContent>
          <w:r w:rsidR="00D4519B">
            <w:t>Trustee Greenway</w:t>
          </w:r>
        </w:sdtContent>
      </w:sdt>
      <w:r w:rsidR="00F56A43">
        <w:t xml:space="preserve"> </w:t>
      </w:r>
      <w:r>
        <w:t>to accept the minutes</w:t>
      </w:r>
      <w:r w:rsidR="00EB3817">
        <w:t xml:space="preserve"> of the </w:t>
      </w:r>
      <w:r w:rsidR="004D5A85">
        <w:fldChar w:fldCharType="begin"/>
      </w:r>
      <w:r w:rsidR="004D5A85">
        <w:instrText xml:space="preserve"> REF SpecialMeetingDate  \* MERGEFORMAT </w:instrText>
      </w:r>
      <w:r w:rsidR="004D5A85">
        <w:fldChar w:fldCharType="separate"/>
      </w:r>
      <w:sdt>
        <w:sdtPr>
          <w:rPr>
            <w:rStyle w:val="CapsBoldUnderline"/>
            <w:b w:val="0"/>
            <w:caps w:val="0"/>
            <w:u w:val="none"/>
          </w:rPr>
          <w:alias w:val="Special Meeting Date"/>
          <w:tag w:val="Special Meeting Date"/>
          <w:id w:val="-2073804630"/>
          <w:placeholder>
            <w:docPart w:val="C6B3106D885F4459ACBD5FAFC1BB54EF"/>
          </w:placeholder>
          <w:date w:fullDate="2018-08-22T00:00:00Z">
            <w:dateFormat w:val="MMMM d, yyyy"/>
            <w:lid w:val="en-US"/>
            <w:storeMappedDataAs w:val="dateTime"/>
            <w:calendar w:val="gregorian"/>
          </w:date>
        </w:sdtPr>
        <w:sdtContent>
          <w:r w:rsidR="004D5A85" w:rsidRPr="004D5A85">
            <w:rPr>
              <w:rStyle w:val="CapsBoldUnderline"/>
              <w:b w:val="0"/>
              <w:caps w:val="0"/>
              <w:u w:val="none"/>
            </w:rPr>
            <w:t>August 22, 2018</w:t>
          </w:r>
        </w:sdtContent>
      </w:sdt>
      <w:r w:rsidR="004D5A85">
        <w:rPr>
          <w:rStyle w:val="CapsBoldUnderline"/>
          <w:b w:val="0"/>
          <w:caps w:val="0"/>
          <w:u w:val="none"/>
        </w:rPr>
        <w:fldChar w:fldCharType="end"/>
      </w:r>
      <w:r w:rsidR="00EB3817">
        <w:t xml:space="preserve"> </w:t>
      </w:r>
      <w:r w:rsidR="00D4519B">
        <w:t xml:space="preserve">Organizational </w:t>
      </w:r>
      <w:r w:rsidR="00EB3817">
        <w:t>Meeting as presented.</w:t>
      </w:r>
    </w:p>
    <w:p w:rsidR="00F16E8C" w:rsidRDefault="00F16E8C" w:rsidP="004806E1"/>
    <w:p w:rsidR="00F16E8C" w:rsidRPr="000B5C94" w:rsidRDefault="00F16E8C" w:rsidP="004806E1">
      <w:r>
        <w:t>Motion supported</w:t>
      </w:r>
      <w:r w:rsidR="00F56A43">
        <w:t xml:space="preserve"> </w:t>
      </w:r>
      <w:sdt>
        <w:sdtPr>
          <w:alias w:val="Name"/>
          <w:tag w:val="Name"/>
          <w:id w:val="-925102364"/>
          <w:placeholder>
            <w:docPart w:val="B44E404B1B0B4D74A5B20C1C810F9A78"/>
          </w:placeholder>
          <w:dropDownList>
            <w:listItem w:displayText="Trustee Brewbaker" w:value="Trustee Brewbaker"/>
            <w:listItem w:displayText="Trustee Fox" w:value="Trustee Fox"/>
            <w:listItem w:displayText="Trustee Greenway" w:value="Trustee Greenway"/>
            <w:listItem w:displayText="Trustee Morrice" w:value="Trustee Morrice"/>
            <w:listItem w:displayText="Trustee Reed" w:value="Trustee Reed"/>
            <w:listItem w:displayText="Vice Chairperson Mitchell" w:value="Vice Chairperson Mitchell"/>
            <w:listItem w:displayText="Chairperson Farrell" w:value="Chairperson Farrell"/>
          </w:dropDownList>
        </w:sdtPr>
        <w:sdtEndPr/>
        <w:sdtContent>
          <w:r w:rsidR="00D4519B">
            <w:t>Trustee Morrice</w:t>
          </w:r>
        </w:sdtContent>
      </w:sdt>
      <w:r w:rsidR="00F56A43">
        <w:t xml:space="preserve"> </w:t>
      </w:r>
      <w:r>
        <w:t>and concurred in by unanimous vote.</w:t>
      </w:r>
    </w:p>
    <w:p w:rsidR="00771240" w:rsidRDefault="00771240" w:rsidP="00771240">
      <w:pPr>
        <w:rPr>
          <w:b/>
          <w:u w:val="single"/>
        </w:rPr>
      </w:pPr>
    </w:p>
    <w:p w:rsidR="00771240" w:rsidRDefault="00771240" w:rsidP="000A2C11">
      <w:pPr>
        <w:pStyle w:val="Heading1"/>
      </w:pPr>
      <w:r w:rsidRPr="00335107">
        <w:t xml:space="preserve">APPROVE MINUTES OF </w:t>
      </w:r>
      <w:bookmarkStart w:id="2" w:name="RegularMeetingDate"/>
      <w:sdt>
        <w:sdtPr>
          <w:rPr>
            <w:rStyle w:val="CapsBoldUnderline"/>
            <w:rFonts w:ascii="Calibri" w:hAnsi="Calibri"/>
            <w:b/>
            <w:caps/>
            <w:sz w:val="24"/>
          </w:rPr>
          <w:alias w:val="Regular Meeting Date"/>
          <w:tag w:val="Regular Meeting Date"/>
          <w:id w:val="-91168209"/>
          <w:placeholder>
            <w:docPart w:val="91D8649CC6E34C2289053F7C3B2BD9FA"/>
          </w:placeholder>
          <w:date w:fullDate="2018-08-22T00:00:00Z">
            <w:dateFormat w:val="MMMM d, yyyy"/>
            <w:lid w:val="en-US"/>
            <w:storeMappedDataAs w:val="dateTime"/>
            <w:calendar w:val="gregorian"/>
          </w:date>
        </w:sdtPr>
        <w:sdtEndPr>
          <w:rPr>
            <w:rStyle w:val="CapsBoldUnderline"/>
          </w:rPr>
        </w:sdtEndPr>
        <w:sdtContent>
          <w:r w:rsidR="00D4519B">
            <w:rPr>
              <w:rStyle w:val="CapsBoldUnderline"/>
              <w:rFonts w:ascii="Calibri" w:hAnsi="Calibri"/>
              <w:b/>
              <w:caps/>
              <w:sz w:val="24"/>
            </w:rPr>
            <w:t>August 22, 2018</w:t>
          </w:r>
        </w:sdtContent>
      </w:sdt>
      <w:bookmarkEnd w:id="2"/>
      <w:r w:rsidRPr="00335107">
        <w:t xml:space="preserve"> </w:t>
      </w:r>
      <w:r>
        <w:t>REGULAR</w:t>
      </w:r>
      <w:r w:rsidRPr="00335107">
        <w:t xml:space="preserve"> MEETING:</w:t>
      </w:r>
    </w:p>
    <w:p w:rsidR="00771240" w:rsidRDefault="00771240" w:rsidP="00771240"/>
    <w:p w:rsidR="00771240" w:rsidRDefault="00771240" w:rsidP="00771240">
      <w:r>
        <w:t>Motion by</w:t>
      </w:r>
      <w:r w:rsidR="00882905" w:rsidRPr="00882905">
        <w:t xml:space="preserve"> </w:t>
      </w:r>
      <w:sdt>
        <w:sdtPr>
          <w:alias w:val="Name"/>
          <w:tag w:val="Name"/>
          <w:id w:val="-1360508152"/>
          <w:placeholder>
            <w:docPart w:val="6AAF92C5EC114DDF80F0DD89CF58C9AA"/>
          </w:placeholder>
          <w:dropDownList>
            <w:listItem w:displayText="Trustee Brewbaker" w:value="Trustee Brewbaker"/>
            <w:listItem w:displayText="Trustee Fox" w:value="Trustee Fox"/>
            <w:listItem w:displayText="Trustee Greenway" w:value="Trustee Greenway"/>
            <w:listItem w:displayText="Trustee Morrice" w:value="Trustee Morrice"/>
            <w:listItem w:displayText="Trustee Reed" w:value="Trustee Reed"/>
            <w:listItem w:displayText="Vice Chairperson Mitchell" w:value="Vice Chairperson Mitchell"/>
            <w:listItem w:displayText="Chairperson Farrell" w:value="Chairperson Farrell"/>
          </w:dropDownList>
        </w:sdtPr>
        <w:sdtEndPr/>
        <w:sdtContent>
          <w:r w:rsidR="0059357F">
            <w:t>Vice Chairperson Mitchell</w:t>
          </w:r>
        </w:sdtContent>
      </w:sdt>
      <w:r w:rsidR="00F56A43">
        <w:t xml:space="preserve">  </w:t>
      </w:r>
      <w:r>
        <w:t xml:space="preserve">to accept the minutes of the </w:t>
      </w:r>
      <w:r w:rsidR="004D5A85">
        <w:fldChar w:fldCharType="begin"/>
      </w:r>
      <w:r w:rsidR="004D5A85">
        <w:instrText xml:space="preserve"> REF RegularMeetingDate  \* MERGEFORMAT </w:instrText>
      </w:r>
      <w:r w:rsidR="004D5A85">
        <w:fldChar w:fldCharType="separate"/>
      </w:r>
      <w:sdt>
        <w:sdtPr>
          <w:rPr>
            <w:rStyle w:val="CapsBoldUnderline"/>
            <w:b w:val="0"/>
            <w:caps w:val="0"/>
            <w:u w:val="none"/>
          </w:rPr>
          <w:alias w:val="Regular Meeting Date"/>
          <w:tag w:val="Regular Meeting Date"/>
          <w:id w:val="-1686207927"/>
          <w:placeholder>
            <w:docPart w:val="76108CEDBDC843578D6808B31D31205D"/>
          </w:placeholder>
          <w:date w:fullDate="2018-08-22T00:00:00Z">
            <w:dateFormat w:val="MMMM d, yyyy"/>
            <w:lid w:val="en-US"/>
            <w:storeMappedDataAs w:val="dateTime"/>
            <w:calendar w:val="gregorian"/>
          </w:date>
        </w:sdtPr>
        <w:sdtContent>
          <w:r w:rsidR="004D5A85" w:rsidRPr="004D5A85">
            <w:rPr>
              <w:rStyle w:val="CapsBoldUnderline"/>
              <w:b w:val="0"/>
              <w:caps w:val="0"/>
              <w:u w:val="none"/>
            </w:rPr>
            <w:t>August 22, 2018</w:t>
          </w:r>
        </w:sdtContent>
      </w:sdt>
      <w:r w:rsidR="004D5A85">
        <w:rPr>
          <w:rStyle w:val="CapsBoldUnderline"/>
          <w:b w:val="0"/>
          <w:caps w:val="0"/>
          <w:u w:val="none"/>
        </w:rPr>
        <w:fldChar w:fldCharType="end"/>
      </w:r>
      <w:r>
        <w:t xml:space="preserve"> </w:t>
      </w:r>
      <w:proofErr w:type="gramStart"/>
      <w:r>
        <w:t>Regular</w:t>
      </w:r>
      <w:proofErr w:type="gramEnd"/>
      <w:r>
        <w:t xml:space="preserve"> Meeting as presented.</w:t>
      </w:r>
    </w:p>
    <w:p w:rsidR="00771240" w:rsidRDefault="00771240" w:rsidP="00771240"/>
    <w:p w:rsidR="00771240" w:rsidRPr="000B5C94" w:rsidRDefault="00771240" w:rsidP="00771240">
      <w:r>
        <w:lastRenderedPageBreak/>
        <w:t>Motion supported by</w:t>
      </w:r>
      <w:r w:rsidR="00882905" w:rsidRPr="00882905">
        <w:t xml:space="preserve"> </w:t>
      </w:r>
      <w:sdt>
        <w:sdtPr>
          <w:alias w:val="Name"/>
          <w:tag w:val="Name"/>
          <w:id w:val="916051609"/>
          <w:placeholder>
            <w:docPart w:val="BE2BAEEA31D34BBD891E9FE50BDE3AA9"/>
          </w:placeholder>
          <w:dropDownList>
            <w:listItem w:displayText="Trustee Brewbaker" w:value="Trustee Brewbaker"/>
            <w:listItem w:displayText="Trustee Fox" w:value="Trustee Fox"/>
            <w:listItem w:displayText="Trustee Greenway" w:value="Trustee Greenway"/>
            <w:listItem w:displayText="Trustee Morrice" w:value="Trustee Morrice"/>
            <w:listItem w:displayText="Trustee Reed" w:value="Trustee Reed"/>
            <w:listItem w:displayText="Vice Chairperson Mitchell" w:value="Vice Chairperson Mitchell"/>
            <w:listItem w:displayText="Chairperson Farrell" w:value="Chairperson Farrell"/>
          </w:dropDownList>
        </w:sdtPr>
        <w:sdtEndPr/>
        <w:sdtContent>
          <w:r w:rsidR="0059357F">
            <w:t>Trustee Greenway</w:t>
          </w:r>
        </w:sdtContent>
      </w:sdt>
      <w:r w:rsidR="00F56A43" w:rsidRPr="00F56A43">
        <w:t xml:space="preserve"> </w:t>
      </w:r>
      <w:r w:rsidR="00F56A43">
        <w:t xml:space="preserve"> </w:t>
      </w:r>
      <w:r>
        <w:t>and concurred in by unanimous vote.</w:t>
      </w:r>
    </w:p>
    <w:p w:rsidR="00A3556E" w:rsidRDefault="00A3556E" w:rsidP="000A2C11">
      <w:pPr>
        <w:pStyle w:val="Heading1"/>
      </w:pPr>
      <w:r w:rsidRPr="00335107">
        <w:t>CITIZEN COMMENTS:</w:t>
      </w:r>
    </w:p>
    <w:p w:rsidR="00F16E8C" w:rsidRDefault="00F16E8C" w:rsidP="004806E1"/>
    <w:p w:rsidR="00F16E8C" w:rsidRPr="00335107" w:rsidRDefault="00BD09B1" w:rsidP="004806E1">
      <w:r>
        <w:t>There were no citizen</w:t>
      </w:r>
      <w:r w:rsidR="006F1107">
        <w:t xml:space="preserve"> comments.</w:t>
      </w:r>
    </w:p>
    <w:p w:rsidR="00A3556E" w:rsidRPr="00335107" w:rsidRDefault="00A3556E" w:rsidP="004806E1"/>
    <w:p w:rsidR="00A3556E" w:rsidRDefault="00A3556E" w:rsidP="000A2C11">
      <w:pPr>
        <w:pStyle w:val="Heading1"/>
      </w:pPr>
      <w:r w:rsidRPr="00335107">
        <w:t>CONSENT AGENDA:</w:t>
      </w:r>
    </w:p>
    <w:p w:rsidR="006F1107" w:rsidRDefault="006F1107" w:rsidP="004806E1">
      <w:pPr>
        <w:rPr>
          <w:b/>
        </w:rPr>
      </w:pPr>
    </w:p>
    <w:p w:rsidR="006F1107" w:rsidRPr="006F1107" w:rsidRDefault="006F1107" w:rsidP="004806E1">
      <w:r>
        <w:t>Motion by</w:t>
      </w:r>
      <w:r w:rsidR="00F56A43">
        <w:t xml:space="preserve"> </w:t>
      </w:r>
      <w:sdt>
        <w:sdtPr>
          <w:alias w:val="Name"/>
          <w:tag w:val="Name"/>
          <w:id w:val="1750457828"/>
          <w:placeholder>
            <w:docPart w:val="DF43FECD3B484AD68F3DEC23C4806C19"/>
          </w:placeholder>
          <w:dropDownList>
            <w:listItem w:displayText="Trustee Brewbaker" w:value="Trustee Brewbaker"/>
            <w:listItem w:displayText="Trustee Fox" w:value="Trustee Fox"/>
            <w:listItem w:displayText="Trustee Greenway" w:value="Trustee Greenway"/>
            <w:listItem w:displayText="Trustee Morrice" w:value="Trustee Morrice"/>
            <w:listItem w:displayText="Trustee Reed" w:value="Trustee Reed"/>
            <w:listItem w:displayText="Vice Chairperson Mitchell" w:value="Vice Chairperson Mitchell"/>
            <w:listItem w:displayText="Chairperson Farrell" w:value="Chairperson Farrell"/>
          </w:dropDownList>
        </w:sdtPr>
        <w:sdtEndPr/>
        <w:sdtContent>
          <w:r w:rsidR="0059357F">
            <w:t>Trustee Greenway</w:t>
          </w:r>
        </w:sdtContent>
      </w:sdt>
      <w:r w:rsidR="00F56A43">
        <w:t xml:space="preserve"> </w:t>
      </w:r>
      <w:r>
        <w:t>to approve the consent agenda as follows:</w:t>
      </w:r>
    </w:p>
    <w:p w:rsidR="00771240" w:rsidRDefault="00771240" w:rsidP="00771240">
      <w:pPr>
        <w:rPr>
          <w:b/>
          <w:u w:val="single"/>
        </w:rPr>
      </w:pPr>
    </w:p>
    <w:p w:rsidR="0059357F" w:rsidRPr="0059357F" w:rsidRDefault="0059357F" w:rsidP="0059357F">
      <w:pPr>
        <w:tabs>
          <w:tab w:val="left" w:pos="360"/>
          <w:tab w:val="left" w:pos="5947"/>
          <w:tab w:val="right" w:pos="7200"/>
        </w:tabs>
        <w:rPr>
          <w:rFonts w:asciiTheme="minorHAnsi" w:hAnsiTheme="minorHAnsi"/>
          <w:b/>
          <w:i/>
          <w:kern w:val="0"/>
          <w:szCs w:val="22"/>
        </w:rPr>
      </w:pPr>
      <w:r w:rsidRPr="0059357F">
        <w:rPr>
          <w:rFonts w:asciiTheme="minorHAnsi" w:hAnsiTheme="minorHAnsi" w:cstheme="minorBidi"/>
          <w:b/>
          <w:iCs/>
          <w:kern w:val="0"/>
          <w:szCs w:val="22"/>
          <w:u w:val="single"/>
        </w:rPr>
        <w:t>Approve Pension Check Reports</w:t>
      </w:r>
      <w:r w:rsidRPr="0059357F">
        <w:rPr>
          <w:rFonts w:asciiTheme="minorHAnsi" w:hAnsiTheme="minorHAnsi"/>
          <w:b/>
          <w:i/>
          <w:kern w:val="0"/>
          <w:szCs w:val="22"/>
        </w:rPr>
        <w:t xml:space="preserve">: </w:t>
      </w:r>
    </w:p>
    <w:p w:rsidR="0059357F" w:rsidRPr="0059357F" w:rsidRDefault="0059357F" w:rsidP="0059357F">
      <w:pPr>
        <w:tabs>
          <w:tab w:val="left" w:pos="360"/>
          <w:tab w:val="left" w:pos="5947"/>
          <w:tab w:val="right" w:pos="7200"/>
        </w:tabs>
        <w:rPr>
          <w:rFonts w:asciiTheme="minorHAnsi" w:hAnsiTheme="minorHAnsi"/>
          <w:kern w:val="0"/>
          <w:szCs w:val="22"/>
        </w:rPr>
      </w:pPr>
      <w:r w:rsidRPr="0059357F">
        <w:rPr>
          <w:rFonts w:asciiTheme="minorHAnsi" w:hAnsiTheme="minorHAnsi"/>
          <w:kern w:val="0"/>
          <w:szCs w:val="22"/>
        </w:rPr>
        <w:t xml:space="preserve"> </w:t>
      </w:r>
    </w:p>
    <w:p w:rsidR="0059357F" w:rsidRPr="0059357F" w:rsidRDefault="0059357F" w:rsidP="0059357F">
      <w:pPr>
        <w:numPr>
          <w:ilvl w:val="0"/>
          <w:numId w:val="3"/>
        </w:numPr>
        <w:tabs>
          <w:tab w:val="left" w:pos="360"/>
          <w:tab w:val="left" w:pos="720"/>
          <w:tab w:val="left" w:pos="5947"/>
          <w:tab w:val="right" w:pos="7200"/>
        </w:tabs>
        <w:rPr>
          <w:rFonts w:asciiTheme="minorHAnsi" w:hAnsiTheme="minorHAnsi"/>
          <w:kern w:val="0"/>
          <w:szCs w:val="22"/>
        </w:rPr>
      </w:pPr>
      <w:r w:rsidRPr="0059357F">
        <w:rPr>
          <w:rFonts w:asciiTheme="minorHAnsi" w:hAnsiTheme="minorHAnsi"/>
          <w:kern w:val="0"/>
          <w:szCs w:val="22"/>
        </w:rPr>
        <w:t>August 2018</w:t>
      </w:r>
      <w:r w:rsidRPr="0059357F">
        <w:rPr>
          <w:rFonts w:asciiTheme="minorHAnsi" w:hAnsiTheme="minorHAnsi"/>
          <w:kern w:val="0"/>
          <w:szCs w:val="22"/>
        </w:rPr>
        <w:tab/>
        <w:t xml:space="preserve">$ </w:t>
      </w:r>
      <w:r w:rsidRPr="0059357F">
        <w:rPr>
          <w:rFonts w:asciiTheme="minorHAnsi" w:hAnsiTheme="minorHAnsi"/>
          <w:kern w:val="0"/>
          <w:szCs w:val="22"/>
        </w:rPr>
        <w:tab/>
        <w:t>248,598.50</w:t>
      </w:r>
    </w:p>
    <w:p w:rsidR="0059357F" w:rsidRPr="0059357F" w:rsidRDefault="0059357F" w:rsidP="0059357F">
      <w:pPr>
        <w:numPr>
          <w:ilvl w:val="0"/>
          <w:numId w:val="3"/>
        </w:numPr>
        <w:tabs>
          <w:tab w:val="left" w:pos="360"/>
          <w:tab w:val="right" w:pos="720"/>
          <w:tab w:val="left" w:pos="5947"/>
          <w:tab w:val="right" w:pos="7200"/>
        </w:tabs>
        <w:rPr>
          <w:rFonts w:asciiTheme="minorHAnsi" w:hAnsiTheme="minorHAnsi"/>
          <w:kern w:val="0"/>
          <w:szCs w:val="22"/>
        </w:rPr>
      </w:pPr>
      <w:r w:rsidRPr="0059357F">
        <w:rPr>
          <w:rFonts w:asciiTheme="minorHAnsi" w:hAnsiTheme="minorHAnsi"/>
          <w:kern w:val="0"/>
          <w:szCs w:val="22"/>
        </w:rPr>
        <w:t>September 2018</w:t>
      </w:r>
      <w:r w:rsidRPr="0059357F">
        <w:rPr>
          <w:rFonts w:asciiTheme="minorHAnsi" w:hAnsiTheme="minorHAnsi"/>
          <w:kern w:val="0"/>
          <w:szCs w:val="22"/>
        </w:rPr>
        <w:tab/>
        <w:t xml:space="preserve">$ </w:t>
      </w:r>
      <w:r w:rsidRPr="0059357F">
        <w:rPr>
          <w:rFonts w:asciiTheme="minorHAnsi" w:hAnsiTheme="minorHAnsi"/>
          <w:kern w:val="0"/>
          <w:szCs w:val="22"/>
        </w:rPr>
        <w:tab/>
        <w:t>248,506.80</w:t>
      </w:r>
    </w:p>
    <w:p w:rsidR="0059357F" w:rsidRPr="0059357F" w:rsidRDefault="0059357F" w:rsidP="0059357F">
      <w:pPr>
        <w:tabs>
          <w:tab w:val="left" w:pos="360"/>
          <w:tab w:val="left" w:pos="5947"/>
          <w:tab w:val="right" w:pos="7200"/>
        </w:tabs>
        <w:rPr>
          <w:kern w:val="0"/>
          <w:szCs w:val="22"/>
        </w:rPr>
      </w:pPr>
      <w:r w:rsidRPr="0059357F">
        <w:rPr>
          <w:kern w:val="0"/>
          <w:szCs w:val="22"/>
        </w:rPr>
        <w:tab/>
      </w:r>
    </w:p>
    <w:p w:rsidR="0059357F" w:rsidRPr="0059357F" w:rsidRDefault="0059357F" w:rsidP="0059357F">
      <w:pPr>
        <w:tabs>
          <w:tab w:val="left" w:pos="360"/>
          <w:tab w:val="left" w:pos="5947"/>
          <w:tab w:val="right" w:pos="7200"/>
        </w:tabs>
        <w:ind w:left="360" w:hanging="360"/>
        <w:rPr>
          <w:rFonts w:asciiTheme="minorHAnsi" w:hAnsiTheme="minorHAnsi"/>
          <w:b/>
          <w:i/>
          <w:kern w:val="0"/>
          <w:szCs w:val="22"/>
        </w:rPr>
      </w:pPr>
      <w:r w:rsidRPr="0059357F">
        <w:rPr>
          <w:rFonts w:asciiTheme="minorHAnsi" w:hAnsiTheme="minorHAnsi" w:cstheme="minorBidi"/>
          <w:b/>
          <w:iCs/>
          <w:kern w:val="0"/>
          <w:szCs w:val="22"/>
          <w:u w:val="single"/>
        </w:rPr>
        <w:t>Approve Statements</w:t>
      </w:r>
      <w:r w:rsidRPr="0059357F">
        <w:rPr>
          <w:rFonts w:asciiTheme="minorHAnsi" w:hAnsiTheme="minorHAnsi"/>
          <w:b/>
          <w:kern w:val="0"/>
          <w:szCs w:val="22"/>
        </w:rPr>
        <w:t>:</w:t>
      </w:r>
      <w:r w:rsidRPr="0059357F">
        <w:rPr>
          <w:rFonts w:asciiTheme="minorHAnsi" w:hAnsiTheme="minorHAnsi"/>
          <w:b/>
          <w:i/>
          <w:kern w:val="0"/>
          <w:szCs w:val="22"/>
        </w:rPr>
        <w:t xml:space="preserve"> </w:t>
      </w:r>
    </w:p>
    <w:p w:rsidR="0059357F" w:rsidRPr="0059357F" w:rsidRDefault="0059357F" w:rsidP="0059357F">
      <w:pPr>
        <w:tabs>
          <w:tab w:val="left" w:pos="360"/>
          <w:tab w:val="left" w:pos="5947"/>
          <w:tab w:val="right" w:pos="7200"/>
        </w:tabs>
        <w:ind w:left="720" w:hanging="360"/>
        <w:rPr>
          <w:rFonts w:asciiTheme="minorHAnsi" w:hAnsiTheme="minorHAnsi"/>
          <w:kern w:val="0"/>
          <w:szCs w:val="22"/>
          <w:u w:val="single"/>
        </w:rPr>
      </w:pPr>
    </w:p>
    <w:p w:rsidR="0059357F" w:rsidRPr="0059357F" w:rsidRDefault="0059357F" w:rsidP="0059357F">
      <w:pPr>
        <w:numPr>
          <w:ilvl w:val="0"/>
          <w:numId w:val="37"/>
        </w:numPr>
        <w:rPr>
          <w:rFonts w:asciiTheme="minorHAnsi" w:hAnsiTheme="minorHAnsi"/>
          <w:kern w:val="0"/>
          <w:szCs w:val="22"/>
          <w:u w:val="single"/>
        </w:rPr>
      </w:pPr>
      <w:r w:rsidRPr="0059357F">
        <w:rPr>
          <w:rFonts w:asciiTheme="minorHAnsi" w:hAnsiTheme="minorHAnsi"/>
          <w:kern w:val="0"/>
          <w:szCs w:val="22"/>
          <w:u w:val="single"/>
        </w:rPr>
        <w:t>City of Owosso Employees Retirement Fund</w:t>
      </w:r>
    </w:p>
    <w:p w:rsidR="0059357F" w:rsidRPr="0059357F" w:rsidRDefault="0059357F" w:rsidP="0059357F">
      <w:pPr>
        <w:ind w:left="360"/>
        <w:rPr>
          <w:rFonts w:asciiTheme="minorHAnsi" w:hAnsiTheme="minorHAnsi"/>
          <w:kern w:val="0"/>
          <w:szCs w:val="22"/>
        </w:rPr>
      </w:pPr>
      <w:r w:rsidRPr="0059357F">
        <w:rPr>
          <w:rFonts w:asciiTheme="minorHAnsi" w:hAnsiTheme="minorHAnsi"/>
          <w:kern w:val="0"/>
          <w:szCs w:val="22"/>
        </w:rPr>
        <w:t>As of August 31, 2018</w:t>
      </w:r>
    </w:p>
    <w:p w:rsidR="0059357F" w:rsidRPr="0059357F" w:rsidRDefault="0059357F" w:rsidP="0059357F">
      <w:pPr>
        <w:ind w:left="360"/>
        <w:rPr>
          <w:rFonts w:asciiTheme="minorHAnsi" w:hAnsiTheme="minorHAnsi"/>
          <w:kern w:val="0"/>
          <w:szCs w:val="22"/>
        </w:rPr>
      </w:pPr>
    </w:p>
    <w:p w:rsidR="0059357F" w:rsidRPr="0059357F" w:rsidRDefault="0059357F" w:rsidP="0059357F">
      <w:pPr>
        <w:numPr>
          <w:ilvl w:val="0"/>
          <w:numId w:val="37"/>
        </w:numPr>
        <w:rPr>
          <w:rFonts w:asciiTheme="minorHAnsi" w:hAnsiTheme="minorHAnsi"/>
          <w:kern w:val="0"/>
          <w:szCs w:val="22"/>
          <w:u w:val="single"/>
        </w:rPr>
      </w:pPr>
      <w:r w:rsidRPr="0059357F">
        <w:rPr>
          <w:rFonts w:asciiTheme="minorHAnsi" w:hAnsiTheme="minorHAnsi"/>
          <w:kern w:val="0"/>
          <w:szCs w:val="22"/>
          <w:u w:val="single"/>
        </w:rPr>
        <w:t>City of Owosso Employees Retirement Fund</w:t>
      </w:r>
    </w:p>
    <w:p w:rsidR="0059357F" w:rsidRPr="0059357F" w:rsidRDefault="0059357F" w:rsidP="0059357F">
      <w:pPr>
        <w:ind w:left="360"/>
        <w:rPr>
          <w:rFonts w:asciiTheme="minorHAnsi" w:hAnsiTheme="minorHAnsi"/>
          <w:kern w:val="0"/>
          <w:szCs w:val="22"/>
        </w:rPr>
      </w:pPr>
      <w:r w:rsidRPr="0059357F">
        <w:rPr>
          <w:rFonts w:asciiTheme="minorHAnsi" w:hAnsiTheme="minorHAnsi"/>
          <w:kern w:val="0"/>
          <w:szCs w:val="22"/>
        </w:rPr>
        <w:t>As of September 30, 2018</w:t>
      </w:r>
    </w:p>
    <w:p w:rsidR="0059357F" w:rsidRPr="0059357F" w:rsidRDefault="0059357F" w:rsidP="0059357F">
      <w:pPr>
        <w:tabs>
          <w:tab w:val="left" w:pos="360"/>
          <w:tab w:val="num" w:pos="1080"/>
          <w:tab w:val="left" w:pos="5947"/>
          <w:tab w:val="right" w:pos="7200"/>
        </w:tabs>
        <w:ind w:left="1080" w:hanging="360"/>
        <w:rPr>
          <w:rFonts w:asciiTheme="minorHAnsi" w:hAnsiTheme="minorHAnsi"/>
          <w:kern w:val="0"/>
          <w:szCs w:val="22"/>
        </w:rPr>
      </w:pPr>
    </w:p>
    <w:p w:rsidR="0059357F" w:rsidRPr="0059357F" w:rsidRDefault="0059357F" w:rsidP="0059357F">
      <w:pPr>
        <w:tabs>
          <w:tab w:val="left" w:pos="360"/>
          <w:tab w:val="left" w:pos="5947"/>
          <w:tab w:val="right" w:pos="7200"/>
        </w:tabs>
        <w:rPr>
          <w:rFonts w:asciiTheme="minorHAnsi" w:hAnsiTheme="minorHAnsi"/>
          <w:b/>
          <w:i/>
          <w:kern w:val="0"/>
          <w:szCs w:val="22"/>
        </w:rPr>
      </w:pPr>
      <w:r w:rsidRPr="0059357F">
        <w:rPr>
          <w:rFonts w:asciiTheme="minorHAnsi" w:hAnsiTheme="minorHAnsi" w:cstheme="minorBidi"/>
          <w:b/>
          <w:iCs/>
          <w:kern w:val="0"/>
          <w:szCs w:val="22"/>
          <w:u w:val="single"/>
        </w:rPr>
        <w:t>Payment Authorizations</w:t>
      </w:r>
      <w:r w:rsidRPr="0059357F">
        <w:rPr>
          <w:rFonts w:asciiTheme="minorHAnsi" w:hAnsiTheme="minorHAnsi"/>
          <w:b/>
          <w:kern w:val="0"/>
          <w:szCs w:val="22"/>
        </w:rPr>
        <w:t xml:space="preserve">: </w:t>
      </w:r>
      <w:r w:rsidRPr="0059357F">
        <w:rPr>
          <w:rFonts w:asciiTheme="minorHAnsi" w:hAnsiTheme="minorHAnsi"/>
          <w:b/>
          <w:i/>
          <w:kern w:val="0"/>
          <w:szCs w:val="22"/>
        </w:rPr>
        <w:t xml:space="preserve"> </w:t>
      </w:r>
    </w:p>
    <w:p w:rsidR="0059357F" w:rsidRPr="0059357F" w:rsidRDefault="0059357F" w:rsidP="0059357F">
      <w:pPr>
        <w:tabs>
          <w:tab w:val="left" w:pos="360"/>
          <w:tab w:val="left" w:pos="5947"/>
          <w:tab w:val="right" w:pos="7200"/>
        </w:tabs>
        <w:rPr>
          <w:rFonts w:asciiTheme="minorHAnsi" w:hAnsiTheme="minorHAnsi"/>
          <w:kern w:val="0"/>
          <w:szCs w:val="22"/>
        </w:rPr>
      </w:pPr>
    </w:p>
    <w:p w:rsidR="0059357F" w:rsidRPr="0059357F" w:rsidRDefault="0059357F" w:rsidP="0059357F">
      <w:pPr>
        <w:numPr>
          <w:ilvl w:val="0"/>
          <w:numId w:val="40"/>
        </w:numPr>
        <w:tabs>
          <w:tab w:val="clear" w:pos="3060"/>
          <w:tab w:val="num" w:pos="360"/>
          <w:tab w:val="left" w:pos="5947"/>
          <w:tab w:val="left" w:pos="6120"/>
          <w:tab w:val="right" w:pos="7200"/>
        </w:tabs>
        <w:ind w:left="360"/>
        <w:rPr>
          <w:rFonts w:asciiTheme="minorHAnsi" w:hAnsiTheme="minorHAnsi"/>
          <w:kern w:val="0"/>
          <w:szCs w:val="22"/>
        </w:rPr>
      </w:pPr>
      <w:r w:rsidRPr="0059357F">
        <w:rPr>
          <w:rFonts w:asciiTheme="minorHAnsi" w:hAnsiTheme="minorHAnsi"/>
          <w:kern w:val="0"/>
          <w:szCs w:val="22"/>
          <w:u w:val="single"/>
        </w:rPr>
        <w:t>Franklin Templeton Investments</w:t>
      </w:r>
      <w:r w:rsidRPr="0059357F">
        <w:rPr>
          <w:rFonts w:asciiTheme="minorHAnsi" w:hAnsiTheme="minorHAnsi"/>
          <w:kern w:val="0"/>
          <w:szCs w:val="22"/>
        </w:rPr>
        <w:t xml:space="preserve"> </w:t>
      </w:r>
    </w:p>
    <w:p w:rsidR="0059357F" w:rsidRPr="0059357F" w:rsidRDefault="0059357F" w:rsidP="0059357F">
      <w:pPr>
        <w:tabs>
          <w:tab w:val="num" w:pos="360"/>
          <w:tab w:val="left" w:pos="5947"/>
          <w:tab w:val="right" w:pos="7200"/>
        </w:tabs>
        <w:ind w:left="360" w:hanging="360"/>
        <w:rPr>
          <w:rFonts w:asciiTheme="minorHAnsi" w:hAnsiTheme="minorHAnsi"/>
          <w:kern w:val="0"/>
          <w:szCs w:val="22"/>
        </w:rPr>
      </w:pPr>
      <w:r w:rsidRPr="0059357F">
        <w:rPr>
          <w:rFonts w:asciiTheme="minorHAnsi" w:hAnsiTheme="minorHAnsi"/>
          <w:kern w:val="0"/>
          <w:szCs w:val="22"/>
        </w:rPr>
        <w:tab/>
        <w:t>For period 07/01/2018 through 09/30/2018</w:t>
      </w:r>
      <w:r w:rsidRPr="0059357F">
        <w:rPr>
          <w:rFonts w:asciiTheme="minorHAnsi" w:hAnsiTheme="minorHAnsi"/>
          <w:kern w:val="0"/>
          <w:szCs w:val="22"/>
        </w:rPr>
        <w:tab/>
        <w:t>$</w:t>
      </w:r>
      <w:r w:rsidRPr="0059357F">
        <w:rPr>
          <w:rFonts w:asciiTheme="minorHAnsi" w:hAnsiTheme="minorHAnsi"/>
          <w:kern w:val="0"/>
          <w:szCs w:val="22"/>
        </w:rPr>
        <w:tab/>
        <w:t>5,574.50</w:t>
      </w:r>
    </w:p>
    <w:p w:rsidR="0059357F" w:rsidRPr="0059357F" w:rsidRDefault="0059357F" w:rsidP="0059357F">
      <w:pPr>
        <w:tabs>
          <w:tab w:val="num" w:pos="360"/>
          <w:tab w:val="left" w:pos="5947"/>
          <w:tab w:val="left" w:pos="6120"/>
          <w:tab w:val="right" w:pos="7200"/>
        </w:tabs>
        <w:ind w:left="360" w:hanging="360"/>
        <w:rPr>
          <w:rFonts w:asciiTheme="minorHAnsi" w:hAnsiTheme="minorHAnsi"/>
          <w:kern w:val="0"/>
          <w:szCs w:val="22"/>
        </w:rPr>
      </w:pPr>
    </w:p>
    <w:p w:rsidR="0059357F" w:rsidRPr="0059357F" w:rsidRDefault="0059357F" w:rsidP="0059357F">
      <w:pPr>
        <w:numPr>
          <w:ilvl w:val="0"/>
          <w:numId w:val="40"/>
        </w:numPr>
        <w:tabs>
          <w:tab w:val="clear" w:pos="3060"/>
          <w:tab w:val="num" w:pos="360"/>
          <w:tab w:val="left" w:pos="5947"/>
          <w:tab w:val="left" w:pos="6120"/>
          <w:tab w:val="right" w:pos="7200"/>
        </w:tabs>
        <w:ind w:left="360"/>
        <w:rPr>
          <w:rFonts w:asciiTheme="minorHAnsi" w:hAnsiTheme="minorHAnsi"/>
          <w:kern w:val="0"/>
          <w:szCs w:val="22"/>
        </w:rPr>
      </w:pPr>
      <w:r w:rsidRPr="0059357F">
        <w:rPr>
          <w:rFonts w:asciiTheme="minorHAnsi" w:hAnsiTheme="minorHAnsi"/>
          <w:kern w:val="0"/>
          <w:szCs w:val="22"/>
          <w:u w:val="single"/>
        </w:rPr>
        <w:t>Franklin Templeton Investments</w:t>
      </w:r>
      <w:r w:rsidRPr="0059357F">
        <w:rPr>
          <w:rFonts w:asciiTheme="minorHAnsi" w:hAnsiTheme="minorHAnsi"/>
          <w:kern w:val="0"/>
          <w:szCs w:val="22"/>
        </w:rPr>
        <w:t xml:space="preserve"> – SIK, former Fifth Third equities</w:t>
      </w:r>
    </w:p>
    <w:p w:rsidR="0059357F" w:rsidRPr="0059357F" w:rsidRDefault="0059357F" w:rsidP="0059357F">
      <w:pPr>
        <w:tabs>
          <w:tab w:val="num" w:pos="360"/>
          <w:tab w:val="left" w:pos="5947"/>
          <w:tab w:val="right" w:pos="7200"/>
        </w:tabs>
        <w:ind w:left="360" w:hanging="360"/>
        <w:rPr>
          <w:rFonts w:asciiTheme="minorHAnsi" w:hAnsiTheme="minorHAnsi"/>
          <w:kern w:val="0"/>
          <w:szCs w:val="22"/>
        </w:rPr>
      </w:pPr>
      <w:r w:rsidRPr="0059357F">
        <w:rPr>
          <w:rFonts w:asciiTheme="minorHAnsi" w:hAnsiTheme="minorHAnsi"/>
          <w:kern w:val="0"/>
          <w:szCs w:val="22"/>
        </w:rPr>
        <w:tab/>
        <w:t>For period 07/01/2018 through 09/30/2018</w:t>
      </w:r>
      <w:r w:rsidRPr="0059357F">
        <w:rPr>
          <w:rFonts w:asciiTheme="minorHAnsi" w:hAnsiTheme="minorHAnsi"/>
          <w:kern w:val="0"/>
          <w:szCs w:val="22"/>
        </w:rPr>
        <w:tab/>
        <w:t>$</w:t>
      </w:r>
      <w:r w:rsidRPr="0059357F">
        <w:rPr>
          <w:rFonts w:asciiTheme="minorHAnsi" w:hAnsiTheme="minorHAnsi"/>
          <w:kern w:val="0"/>
          <w:szCs w:val="22"/>
        </w:rPr>
        <w:tab/>
        <w:t>300.00</w:t>
      </w:r>
    </w:p>
    <w:p w:rsidR="0059357F" w:rsidRPr="0059357F" w:rsidRDefault="0059357F" w:rsidP="0059357F">
      <w:pPr>
        <w:tabs>
          <w:tab w:val="num" w:pos="360"/>
          <w:tab w:val="left" w:pos="5947"/>
          <w:tab w:val="left" w:pos="6120"/>
          <w:tab w:val="right" w:pos="7200"/>
        </w:tabs>
        <w:ind w:left="360"/>
        <w:rPr>
          <w:rFonts w:asciiTheme="minorHAnsi" w:hAnsiTheme="minorHAnsi"/>
          <w:color w:val="FF0000" w:themeColor="text2"/>
          <w:kern w:val="0"/>
          <w:szCs w:val="22"/>
          <w:u w:val="single"/>
        </w:rPr>
      </w:pPr>
    </w:p>
    <w:p w:rsidR="0059357F" w:rsidRPr="0059357F" w:rsidRDefault="0059357F" w:rsidP="0059357F">
      <w:pPr>
        <w:numPr>
          <w:ilvl w:val="0"/>
          <w:numId w:val="40"/>
        </w:numPr>
        <w:tabs>
          <w:tab w:val="clear" w:pos="3060"/>
          <w:tab w:val="num" w:pos="360"/>
          <w:tab w:val="left" w:pos="6120"/>
          <w:tab w:val="right" w:pos="7200"/>
        </w:tabs>
        <w:ind w:left="360"/>
        <w:rPr>
          <w:rFonts w:asciiTheme="minorHAnsi" w:hAnsiTheme="minorHAnsi"/>
          <w:kern w:val="0"/>
          <w:szCs w:val="22"/>
          <w:u w:val="single"/>
        </w:rPr>
      </w:pPr>
      <w:r w:rsidRPr="0059357F">
        <w:rPr>
          <w:rFonts w:asciiTheme="minorHAnsi" w:hAnsiTheme="minorHAnsi"/>
          <w:kern w:val="0"/>
          <w:szCs w:val="22"/>
          <w:u w:val="single"/>
        </w:rPr>
        <w:t>Loomis Sayles/Natixis</w:t>
      </w:r>
    </w:p>
    <w:p w:rsidR="0059357F" w:rsidRPr="0059357F" w:rsidRDefault="0059357F" w:rsidP="0059357F">
      <w:pPr>
        <w:tabs>
          <w:tab w:val="num" w:pos="360"/>
          <w:tab w:val="left" w:pos="5947"/>
          <w:tab w:val="right" w:pos="7200"/>
        </w:tabs>
        <w:ind w:left="360"/>
        <w:rPr>
          <w:rFonts w:asciiTheme="minorHAnsi" w:hAnsiTheme="minorHAnsi"/>
          <w:kern w:val="0"/>
          <w:szCs w:val="22"/>
        </w:rPr>
      </w:pPr>
      <w:r w:rsidRPr="0059357F">
        <w:rPr>
          <w:rFonts w:asciiTheme="minorHAnsi" w:hAnsiTheme="minorHAnsi"/>
          <w:kern w:val="0"/>
          <w:szCs w:val="22"/>
        </w:rPr>
        <w:t>For period 10/01/2018 through 12/31/2018</w:t>
      </w:r>
      <w:r w:rsidRPr="0059357F">
        <w:rPr>
          <w:rFonts w:asciiTheme="minorHAnsi" w:hAnsiTheme="minorHAnsi"/>
          <w:kern w:val="0"/>
          <w:szCs w:val="22"/>
        </w:rPr>
        <w:tab/>
        <w:t>$</w:t>
      </w:r>
      <w:r w:rsidRPr="0059357F">
        <w:rPr>
          <w:rFonts w:asciiTheme="minorHAnsi" w:hAnsiTheme="minorHAnsi"/>
          <w:kern w:val="0"/>
          <w:szCs w:val="22"/>
        </w:rPr>
        <w:tab/>
        <w:t>9,592.81</w:t>
      </w:r>
    </w:p>
    <w:p w:rsidR="0059357F" w:rsidRPr="0059357F" w:rsidRDefault="0059357F" w:rsidP="0059357F">
      <w:pPr>
        <w:tabs>
          <w:tab w:val="num" w:pos="360"/>
          <w:tab w:val="left" w:pos="5947"/>
          <w:tab w:val="left" w:pos="6120"/>
          <w:tab w:val="right" w:pos="7200"/>
        </w:tabs>
        <w:ind w:left="360"/>
        <w:rPr>
          <w:rFonts w:asciiTheme="minorHAnsi" w:hAnsiTheme="minorHAnsi"/>
          <w:kern w:val="0"/>
          <w:szCs w:val="22"/>
        </w:rPr>
      </w:pPr>
    </w:p>
    <w:p w:rsidR="0059357F" w:rsidRPr="0059357F" w:rsidRDefault="0059357F" w:rsidP="0059357F">
      <w:pPr>
        <w:numPr>
          <w:ilvl w:val="0"/>
          <w:numId w:val="40"/>
        </w:numPr>
        <w:tabs>
          <w:tab w:val="clear" w:pos="3060"/>
          <w:tab w:val="num" w:pos="360"/>
          <w:tab w:val="left" w:pos="6120"/>
          <w:tab w:val="right" w:pos="7200"/>
        </w:tabs>
        <w:ind w:left="360"/>
        <w:rPr>
          <w:rFonts w:asciiTheme="minorHAnsi" w:hAnsiTheme="minorHAnsi"/>
          <w:kern w:val="0"/>
          <w:szCs w:val="22"/>
          <w:u w:val="single"/>
        </w:rPr>
      </w:pPr>
      <w:r w:rsidRPr="0059357F">
        <w:rPr>
          <w:rFonts w:asciiTheme="minorHAnsi" w:hAnsiTheme="minorHAnsi"/>
          <w:kern w:val="0"/>
          <w:szCs w:val="22"/>
          <w:u w:val="single"/>
        </w:rPr>
        <w:t>Morgan Stanley – Graystone Consulting</w:t>
      </w:r>
    </w:p>
    <w:p w:rsidR="0059357F" w:rsidRPr="0059357F" w:rsidRDefault="0059357F" w:rsidP="0059357F">
      <w:pPr>
        <w:tabs>
          <w:tab w:val="num" w:pos="360"/>
          <w:tab w:val="left" w:pos="5940"/>
          <w:tab w:val="right" w:pos="7200"/>
        </w:tabs>
        <w:ind w:left="360"/>
        <w:rPr>
          <w:rFonts w:asciiTheme="minorHAnsi" w:hAnsiTheme="minorHAnsi"/>
          <w:kern w:val="0"/>
          <w:szCs w:val="22"/>
        </w:rPr>
      </w:pPr>
      <w:r w:rsidRPr="0059357F">
        <w:rPr>
          <w:rFonts w:asciiTheme="minorHAnsi" w:hAnsiTheme="minorHAnsi"/>
          <w:kern w:val="0"/>
          <w:szCs w:val="22"/>
        </w:rPr>
        <w:t>For period 09/04/2018 through 09/30/2018</w:t>
      </w:r>
      <w:r w:rsidRPr="0059357F">
        <w:rPr>
          <w:rFonts w:asciiTheme="minorHAnsi" w:hAnsiTheme="minorHAnsi"/>
          <w:kern w:val="0"/>
          <w:szCs w:val="22"/>
        </w:rPr>
        <w:tab/>
        <w:t>$</w:t>
      </w:r>
      <w:r w:rsidRPr="0059357F">
        <w:rPr>
          <w:rFonts w:asciiTheme="minorHAnsi" w:hAnsiTheme="minorHAnsi"/>
          <w:kern w:val="0"/>
          <w:szCs w:val="22"/>
        </w:rPr>
        <w:tab/>
        <w:t>820.77</w:t>
      </w:r>
    </w:p>
    <w:p w:rsidR="0059357F" w:rsidRPr="0059357F" w:rsidRDefault="0059357F" w:rsidP="0059357F">
      <w:pPr>
        <w:tabs>
          <w:tab w:val="num" w:pos="720"/>
          <w:tab w:val="left" w:pos="3600"/>
          <w:tab w:val="right" w:pos="4680"/>
          <w:tab w:val="left" w:pos="6120"/>
        </w:tabs>
        <w:ind w:left="1080"/>
        <w:rPr>
          <w:rFonts w:asciiTheme="minorHAnsi" w:hAnsiTheme="minorHAnsi"/>
          <w:kern w:val="0"/>
          <w:szCs w:val="22"/>
        </w:rPr>
      </w:pPr>
      <w:r w:rsidRPr="0059357F">
        <w:rPr>
          <w:rFonts w:asciiTheme="minorHAnsi" w:hAnsiTheme="minorHAnsi"/>
          <w:kern w:val="0"/>
          <w:szCs w:val="22"/>
        </w:rPr>
        <w:t>Consulting Fee</w:t>
      </w:r>
      <w:r w:rsidRPr="0059357F">
        <w:rPr>
          <w:rFonts w:asciiTheme="minorHAnsi" w:hAnsiTheme="minorHAnsi"/>
          <w:kern w:val="0"/>
          <w:szCs w:val="22"/>
        </w:rPr>
        <w:tab/>
        <w:t>$</w:t>
      </w:r>
      <w:r w:rsidRPr="0059357F">
        <w:rPr>
          <w:rFonts w:asciiTheme="minorHAnsi" w:hAnsiTheme="minorHAnsi"/>
          <w:kern w:val="0"/>
          <w:szCs w:val="22"/>
        </w:rPr>
        <w:tab/>
        <w:t>256.49</w:t>
      </w:r>
    </w:p>
    <w:p w:rsidR="0059357F" w:rsidRPr="0059357F" w:rsidRDefault="0059357F" w:rsidP="0059357F">
      <w:pPr>
        <w:tabs>
          <w:tab w:val="num" w:pos="720"/>
          <w:tab w:val="left" w:pos="3600"/>
          <w:tab w:val="right" w:pos="4680"/>
          <w:tab w:val="left" w:pos="6120"/>
        </w:tabs>
        <w:ind w:left="1080"/>
        <w:rPr>
          <w:rFonts w:asciiTheme="minorHAnsi" w:hAnsiTheme="minorHAnsi"/>
          <w:kern w:val="0"/>
          <w:szCs w:val="22"/>
        </w:rPr>
      </w:pPr>
      <w:r w:rsidRPr="0059357F">
        <w:rPr>
          <w:rFonts w:asciiTheme="minorHAnsi" w:hAnsiTheme="minorHAnsi"/>
          <w:kern w:val="0"/>
          <w:szCs w:val="22"/>
        </w:rPr>
        <w:t>Mgr Fee – Cushing</w:t>
      </w:r>
      <w:r w:rsidRPr="0059357F">
        <w:rPr>
          <w:rFonts w:asciiTheme="minorHAnsi" w:hAnsiTheme="minorHAnsi"/>
          <w:kern w:val="0"/>
          <w:szCs w:val="22"/>
        </w:rPr>
        <w:tab/>
        <w:t>$</w:t>
      </w:r>
      <w:r w:rsidRPr="0059357F">
        <w:rPr>
          <w:rFonts w:asciiTheme="minorHAnsi" w:hAnsiTheme="minorHAnsi"/>
          <w:kern w:val="0"/>
          <w:szCs w:val="22"/>
        </w:rPr>
        <w:tab/>
        <w:t>512.98</w:t>
      </w:r>
      <w:r w:rsidRPr="0059357F">
        <w:rPr>
          <w:rFonts w:asciiTheme="minorHAnsi" w:hAnsiTheme="minorHAnsi"/>
          <w:kern w:val="0"/>
          <w:szCs w:val="22"/>
        </w:rPr>
        <w:tab/>
      </w:r>
    </w:p>
    <w:p w:rsidR="0059357F" w:rsidRPr="0059357F" w:rsidRDefault="0059357F" w:rsidP="0059357F">
      <w:pPr>
        <w:tabs>
          <w:tab w:val="num" w:pos="720"/>
          <w:tab w:val="left" w:pos="3600"/>
          <w:tab w:val="right" w:pos="4680"/>
          <w:tab w:val="left" w:pos="6120"/>
        </w:tabs>
        <w:ind w:left="1080"/>
        <w:rPr>
          <w:rFonts w:asciiTheme="minorHAnsi" w:hAnsiTheme="minorHAnsi"/>
          <w:kern w:val="0"/>
          <w:szCs w:val="22"/>
        </w:rPr>
      </w:pPr>
      <w:r w:rsidRPr="0059357F">
        <w:rPr>
          <w:rFonts w:asciiTheme="minorHAnsi" w:hAnsiTheme="minorHAnsi"/>
          <w:kern w:val="0"/>
          <w:szCs w:val="22"/>
        </w:rPr>
        <w:t>MS UMA Fee</w:t>
      </w:r>
      <w:r w:rsidRPr="0059357F">
        <w:rPr>
          <w:rFonts w:asciiTheme="minorHAnsi" w:hAnsiTheme="minorHAnsi"/>
          <w:kern w:val="0"/>
          <w:szCs w:val="22"/>
        </w:rPr>
        <w:tab/>
        <w:t>$</w:t>
      </w:r>
      <w:r w:rsidRPr="0059357F">
        <w:rPr>
          <w:rFonts w:asciiTheme="minorHAnsi" w:hAnsiTheme="minorHAnsi"/>
          <w:kern w:val="0"/>
          <w:szCs w:val="22"/>
        </w:rPr>
        <w:tab/>
        <w:t>51.30</w:t>
      </w:r>
    </w:p>
    <w:p w:rsidR="0059357F" w:rsidRPr="0059357F" w:rsidRDefault="0059357F" w:rsidP="0059357F">
      <w:pPr>
        <w:tabs>
          <w:tab w:val="left" w:pos="6120"/>
          <w:tab w:val="right" w:pos="7200"/>
        </w:tabs>
        <w:ind w:left="720"/>
        <w:rPr>
          <w:rFonts w:asciiTheme="minorHAnsi" w:hAnsiTheme="minorHAnsi"/>
          <w:b/>
          <w:color w:val="FF0000" w:themeColor="text2"/>
          <w:kern w:val="0"/>
          <w:szCs w:val="22"/>
          <w:u w:val="single"/>
        </w:rPr>
      </w:pPr>
    </w:p>
    <w:p w:rsidR="0059357F" w:rsidRPr="0059357F" w:rsidRDefault="0059357F" w:rsidP="0059357F">
      <w:pPr>
        <w:numPr>
          <w:ilvl w:val="0"/>
          <w:numId w:val="40"/>
        </w:numPr>
        <w:tabs>
          <w:tab w:val="clear" w:pos="3060"/>
          <w:tab w:val="num" w:pos="360"/>
          <w:tab w:val="left" w:pos="6120"/>
          <w:tab w:val="right" w:pos="7200"/>
        </w:tabs>
        <w:ind w:left="360"/>
        <w:rPr>
          <w:rFonts w:asciiTheme="minorHAnsi" w:hAnsiTheme="minorHAnsi"/>
          <w:kern w:val="0"/>
          <w:szCs w:val="22"/>
          <w:u w:val="single"/>
        </w:rPr>
      </w:pPr>
      <w:r w:rsidRPr="0059357F">
        <w:rPr>
          <w:rFonts w:asciiTheme="minorHAnsi" w:hAnsiTheme="minorHAnsi"/>
          <w:kern w:val="0"/>
          <w:szCs w:val="22"/>
          <w:u w:val="single"/>
        </w:rPr>
        <w:t>Morgan Stanley – Graystone Consulting</w:t>
      </w:r>
    </w:p>
    <w:p w:rsidR="0059357F" w:rsidRPr="0059357F" w:rsidRDefault="0059357F" w:rsidP="0059357F">
      <w:pPr>
        <w:tabs>
          <w:tab w:val="num" w:pos="360"/>
          <w:tab w:val="left" w:pos="5940"/>
          <w:tab w:val="right" w:pos="7200"/>
        </w:tabs>
        <w:ind w:left="360"/>
        <w:rPr>
          <w:rFonts w:asciiTheme="minorHAnsi" w:hAnsiTheme="minorHAnsi"/>
          <w:kern w:val="0"/>
          <w:szCs w:val="22"/>
        </w:rPr>
      </w:pPr>
      <w:r w:rsidRPr="0059357F">
        <w:rPr>
          <w:rFonts w:asciiTheme="minorHAnsi" w:hAnsiTheme="minorHAnsi"/>
          <w:kern w:val="0"/>
          <w:szCs w:val="22"/>
        </w:rPr>
        <w:t>For period 10/01/2018 through 12/31/2018</w:t>
      </w:r>
      <w:r w:rsidRPr="0059357F">
        <w:rPr>
          <w:rFonts w:asciiTheme="minorHAnsi" w:hAnsiTheme="minorHAnsi"/>
          <w:kern w:val="0"/>
          <w:szCs w:val="22"/>
        </w:rPr>
        <w:tab/>
        <w:t>$</w:t>
      </w:r>
      <w:r w:rsidRPr="0059357F">
        <w:rPr>
          <w:rFonts w:asciiTheme="minorHAnsi" w:hAnsiTheme="minorHAnsi"/>
          <w:kern w:val="0"/>
          <w:szCs w:val="22"/>
        </w:rPr>
        <w:tab/>
        <w:t>34,104.66</w:t>
      </w:r>
    </w:p>
    <w:p w:rsidR="0059357F" w:rsidRPr="0059357F" w:rsidRDefault="0059357F" w:rsidP="0059357F">
      <w:pPr>
        <w:tabs>
          <w:tab w:val="num" w:pos="720"/>
          <w:tab w:val="left" w:pos="3600"/>
          <w:tab w:val="right" w:pos="4680"/>
          <w:tab w:val="left" w:pos="6120"/>
        </w:tabs>
        <w:ind w:left="1080"/>
        <w:rPr>
          <w:rFonts w:asciiTheme="minorHAnsi" w:hAnsiTheme="minorHAnsi"/>
          <w:kern w:val="0"/>
          <w:szCs w:val="22"/>
        </w:rPr>
      </w:pPr>
      <w:r w:rsidRPr="0059357F">
        <w:rPr>
          <w:rFonts w:asciiTheme="minorHAnsi" w:hAnsiTheme="minorHAnsi"/>
          <w:kern w:val="0"/>
          <w:szCs w:val="22"/>
        </w:rPr>
        <w:t>Consulting Fee</w:t>
      </w:r>
      <w:r w:rsidRPr="0059357F">
        <w:rPr>
          <w:rFonts w:asciiTheme="minorHAnsi" w:hAnsiTheme="minorHAnsi"/>
          <w:kern w:val="0"/>
          <w:szCs w:val="22"/>
        </w:rPr>
        <w:tab/>
        <w:t>$</w:t>
      </w:r>
      <w:r w:rsidRPr="0059357F">
        <w:rPr>
          <w:rFonts w:asciiTheme="minorHAnsi" w:hAnsiTheme="minorHAnsi"/>
          <w:kern w:val="0"/>
          <w:szCs w:val="22"/>
        </w:rPr>
        <w:tab/>
        <w:t>17,737.66</w:t>
      </w:r>
    </w:p>
    <w:p w:rsidR="0059357F" w:rsidRPr="0059357F" w:rsidRDefault="0059357F" w:rsidP="0059357F">
      <w:pPr>
        <w:tabs>
          <w:tab w:val="num" w:pos="720"/>
          <w:tab w:val="left" w:pos="3600"/>
          <w:tab w:val="right" w:pos="4680"/>
          <w:tab w:val="left" w:pos="6120"/>
        </w:tabs>
        <w:ind w:left="1080"/>
        <w:rPr>
          <w:rFonts w:asciiTheme="minorHAnsi" w:hAnsiTheme="minorHAnsi"/>
          <w:kern w:val="0"/>
          <w:szCs w:val="22"/>
        </w:rPr>
      </w:pPr>
      <w:r w:rsidRPr="0059357F">
        <w:rPr>
          <w:rFonts w:asciiTheme="minorHAnsi" w:hAnsiTheme="minorHAnsi"/>
          <w:kern w:val="0"/>
          <w:szCs w:val="22"/>
        </w:rPr>
        <w:t>Mgr Fee – Aristotle</w:t>
      </w:r>
      <w:r w:rsidRPr="0059357F">
        <w:rPr>
          <w:rFonts w:asciiTheme="minorHAnsi" w:hAnsiTheme="minorHAnsi"/>
          <w:kern w:val="0"/>
          <w:szCs w:val="22"/>
        </w:rPr>
        <w:tab/>
        <w:t>$</w:t>
      </w:r>
      <w:r w:rsidRPr="0059357F">
        <w:rPr>
          <w:rFonts w:asciiTheme="minorHAnsi" w:hAnsiTheme="minorHAnsi"/>
          <w:kern w:val="0"/>
          <w:szCs w:val="22"/>
        </w:rPr>
        <w:tab/>
        <w:t>5,485.70</w:t>
      </w:r>
    </w:p>
    <w:p w:rsidR="0059357F" w:rsidRPr="0059357F" w:rsidRDefault="0059357F" w:rsidP="0059357F">
      <w:pPr>
        <w:tabs>
          <w:tab w:val="num" w:pos="720"/>
          <w:tab w:val="left" w:pos="3600"/>
          <w:tab w:val="right" w:pos="4680"/>
          <w:tab w:val="left" w:pos="6120"/>
        </w:tabs>
        <w:ind w:left="1080"/>
        <w:rPr>
          <w:rFonts w:asciiTheme="minorHAnsi" w:hAnsiTheme="minorHAnsi"/>
          <w:kern w:val="0"/>
          <w:szCs w:val="22"/>
        </w:rPr>
      </w:pPr>
      <w:r w:rsidRPr="0059357F">
        <w:rPr>
          <w:rFonts w:asciiTheme="minorHAnsi" w:hAnsiTheme="minorHAnsi"/>
          <w:kern w:val="0"/>
          <w:szCs w:val="22"/>
        </w:rPr>
        <w:t>Mgr Fee – Atlanta</w:t>
      </w:r>
      <w:r w:rsidRPr="0059357F">
        <w:rPr>
          <w:rFonts w:asciiTheme="minorHAnsi" w:hAnsiTheme="minorHAnsi"/>
          <w:kern w:val="0"/>
          <w:szCs w:val="22"/>
        </w:rPr>
        <w:tab/>
        <w:t>$</w:t>
      </w:r>
      <w:r w:rsidRPr="0059357F">
        <w:rPr>
          <w:rFonts w:asciiTheme="minorHAnsi" w:hAnsiTheme="minorHAnsi"/>
          <w:kern w:val="0"/>
          <w:szCs w:val="22"/>
        </w:rPr>
        <w:tab/>
        <w:t>2,278.95</w:t>
      </w:r>
    </w:p>
    <w:p w:rsidR="0059357F" w:rsidRPr="0059357F" w:rsidRDefault="0059357F" w:rsidP="0059357F">
      <w:pPr>
        <w:tabs>
          <w:tab w:val="num" w:pos="720"/>
          <w:tab w:val="left" w:pos="3600"/>
          <w:tab w:val="right" w:pos="4680"/>
          <w:tab w:val="left" w:pos="6120"/>
        </w:tabs>
        <w:ind w:left="1080"/>
        <w:rPr>
          <w:rFonts w:asciiTheme="minorHAnsi" w:hAnsiTheme="minorHAnsi"/>
          <w:kern w:val="0"/>
          <w:szCs w:val="22"/>
        </w:rPr>
      </w:pPr>
      <w:r w:rsidRPr="0059357F">
        <w:rPr>
          <w:rFonts w:asciiTheme="minorHAnsi" w:hAnsiTheme="minorHAnsi"/>
          <w:kern w:val="0"/>
          <w:szCs w:val="22"/>
        </w:rPr>
        <w:t>Mgr Fee – Causeway</w:t>
      </w:r>
      <w:r w:rsidRPr="0059357F">
        <w:rPr>
          <w:rFonts w:asciiTheme="minorHAnsi" w:hAnsiTheme="minorHAnsi"/>
          <w:kern w:val="0"/>
          <w:szCs w:val="22"/>
        </w:rPr>
        <w:tab/>
        <w:t>$</w:t>
      </w:r>
      <w:r w:rsidRPr="0059357F">
        <w:rPr>
          <w:rFonts w:asciiTheme="minorHAnsi" w:hAnsiTheme="minorHAnsi"/>
          <w:kern w:val="0"/>
          <w:szCs w:val="22"/>
        </w:rPr>
        <w:tab/>
        <w:t>2,528.24</w:t>
      </w:r>
    </w:p>
    <w:p w:rsidR="0059357F" w:rsidRPr="0059357F" w:rsidRDefault="0059357F" w:rsidP="0059357F">
      <w:pPr>
        <w:tabs>
          <w:tab w:val="num" w:pos="720"/>
          <w:tab w:val="left" w:pos="3600"/>
          <w:tab w:val="right" w:pos="4680"/>
          <w:tab w:val="left" w:pos="6120"/>
        </w:tabs>
        <w:ind w:left="1080"/>
        <w:rPr>
          <w:rFonts w:asciiTheme="minorHAnsi" w:hAnsiTheme="minorHAnsi"/>
          <w:kern w:val="0"/>
          <w:szCs w:val="22"/>
        </w:rPr>
      </w:pPr>
      <w:r w:rsidRPr="0059357F">
        <w:rPr>
          <w:rFonts w:asciiTheme="minorHAnsi" w:hAnsiTheme="minorHAnsi"/>
          <w:kern w:val="0"/>
          <w:szCs w:val="22"/>
        </w:rPr>
        <w:t>Mgr Fee – Cushing</w:t>
      </w:r>
      <w:r w:rsidRPr="0059357F">
        <w:rPr>
          <w:rFonts w:asciiTheme="minorHAnsi" w:hAnsiTheme="minorHAnsi"/>
          <w:kern w:val="0"/>
          <w:szCs w:val="22"/>
        </w:rPr>
        <w:tab/>
        <w:t>$</w:t>
      </w:r>
      <w:r w:rsidRPr="0059357F">
        <w:rPr>
          <w:rFonts w:asciiTheme="minorHAnsi" w:hAnsiTheme="minorHAnsi"/>
          <w:kern w:val="0"/>
          <w:szCs w:val="22"/>
        </w:rPr>
        <w:tab/>
        <w:t>1,722.52</w:t>
      </w:r>
    </w:p>
    <w:p w:rsidR="0059357F" w:rsidRPr="0059357F" w:rsidRDefault="0059357F" w:rsidP="0059357F">
      <w:pPr>
        <w:tabs>
          <w:tab w:val="num" w:pos="720"/>
          <w:tab w:val="left" w:pos="3600"/>
          <w:tab w:val="right" w:pos="4680"/>
          <w:tab w:val="left" w:pos="6120"/>
        </w:tabs>
        <w:ind w:left="1080"/>
        <w:rPr>
          <w:rFonts w:asciiTheme="minorHAnsi" w:hAnsiTheme="minorHAnsi"/>
          <w:kern w:val="0"/>
          <w:szCs w:val="22"/>
        </w:rPr>
      </w:pPr>
      <w:r w:rsidRPr="0059357F">
        <w:rPr>
          <w:rFonts w:asciiTheme="minorHAnsi" w:hAnsiTheme="minorHAnsi"/>
          <w:kern w:val="0"/>
          <w:szCs w:val="22"/>
        </w:rPr>
        <w:t>Mgr Fee – Harding</w:t>
      </w:r>
      <w:r w:rsidRPr="0059357F">
        <w:rPr>
          <w:rFonts w:asciiTheme="minorHAnsi" w:hAnsiTheme="minorHAnsi"/>
          <w:kern w:val="0"/>
          <w:szCs w:val="22"/>
        </w:rPr>
        <w:tab/>
        <w:t>$</w:t>
      </w:r>
      <w:r w:rsidRPr="0059357F">
        <w:rPr>
          <w:rFonts w:asciiTheme="minorHAnsi" w:hAnsiTheme="minorHAnsi"/>
          <w:kern w:val="0"/>
          <w:szCs w:val="22"/>
        </w:rPr>
        <w:tab/>
        <w:t>2,499.68</w:t>
      </w:r>
    </w:p>
    <w:p w:rsidR="0059357F" w:rsidRPr="0059357F" w:rsidRDefault="0059357F" w:rsidP="0059357F">
      <w:pPr>
        <w:tabs>
          <w:tab w:val="num" w:pos="720"/>
          <w:tab w:val="left" w:pos="3600"/>
          <w:tab w:val="right" w:pos="4680"/>
          <w:tab w:val="left" w:pos="6120"/>
        </w:tabs>
        <w:ind w:left="1080"/>
        <w:rPr>
          <w:rFonts w:asciiTheme="minorHAnsi" w:hAnsiTheme="minorHAnsi"/>
          <w:kern w:val="0"/>
          <w:szCs w:val="22"/>
        </w:rPr>
      </w:pPr>
      <w:r w:rsidRPr="0059357F">
        <w:rPr>
          <w:rFonts w:asciiTheme="minorHAnsi" w:hAnsiTheme="minorHAnsi"/>
          <w:kern w:val="0"/>
          <w:szCs w:val="22"/>
        </w:rPr>
        <w:t>MS UMA Fee</w:t>
      </w:r>
      <w:r w:rsidRPr="0059357F">
        <w:rPr>
          <w:rFonts w:asciiTheme="minorHAnsi" w:hAnsiTheme="minorHAnsi"/>
          <w:kern w:val="0"/>
          <w:szCs w:val="22"/>
        </w:rPr>
        <w:tab/>
        <w:t>$</w:t>
      </w:r>
      <w:r w:rsidRPr="0059357F">
        <w:rPr>
          <w:rFonts w:asciiTheme="minorHAnsi" w:hAnsiTheme="minorHAnsi"/>
          <w:kern w:val="0"/>
          <w:szCs w:val="22"/>
        </w:rPr>
        <w:tab/>
        <w:t>1,851.91</w:t>
      </w:r>
    </w:p>
    <w:p w:rsidR="0059357F" w:rsidRPr="0059357F" w:rsidRDefault="0059357F" w:rsidP="0059357F">
      <w:pPr>
        <w:tabs>
          <w:tab w:val="num" w:pos="720"/>
          <w:tab w:val="left" w:pos="3600"/>
          <w:tab w:val="right" w:pos="4680"/>
          <w:tab w:val="left" w:pos="6120"/>
        </w:tabs>
        <w:ind w:left="1080"/>
        <w:rPr>
          <w:rFonts w:asciiTheme="minorHAnsi" w:hAnsiTheme="minorHAnsi"/>
          <w:color w:val="0000FF" w:themeColor="background1"/>
          <w:kern w:val="0"/>
          <w:szCs w:val="22"/>
        </w:rPr>
      </w:pPr>
    </w:p>
    <w:p w:rsidR="0059357F" w:rsidRPr="0059357F" w:rsidRDefault="0059357F" w:rsidP="0059357F">
      <w:pPr>
        <w:numPr>
          <w:ilvl w:val="0"/>
          <w:numId w:val="40"/>
        </w:numPr>
        <w:tabs>
          <w:tab w:val="clear" w:pos="3060"/>
          <w:tab w:val="num" w:pos="360"/>
          <w:tab w:val="left" w:pos="5947"/>
          <w:tab w:val="left" w:pos="6120"/>
          <w:tab w:val="right" w:pos="7200"/>
        </w:tabs>
        <w:ind w:left="360"/>
        <w:rPr>
          <w:rFonts w:asciiTheme="minorHAnsi" w:hAnsiTheme="minorHAnsi"/>
          <w:kern w:val="0"/>
          <w:szCs w:val="22"/>
        </w:rPr>
      </w:pPr>
      <w:r w:rsidRPr="0059357F">
        <w:rPr>
          <w:rFonts w:asciiTheme="minorHAnsi" w:hAnsiTheme="minorHAnsi"/>
          <w:kern w:val="0"/>
          <w:szCs w:val="22"/>
          <w:u w:val="single"/>
        </w:rPr>
        <w:t>Katherine R. Fagan, City Treasurer</w:t>
      </w:r>
    </w:p>
    <w:p w:rsidR="0059357F" w:rsidRPr="0059357F" w:rsidRDefault="0059357F" w:rsidP="0059357F">
      <w:pPr>
        <w:tabs>
          <w:tab w:val="num" w:pos="360"/>
          <w:tab w:val="left" w:pos="5947"/>
          <w:tab w:val="right" w:pos="7200"/>
        </w:tabs>
        <w:ind w:left="360" w:hanging="360"/>
        <w:rPr>
          <w:rFonts w:asciiTheme="minorHAnsi" w:hAnsiTheme="minorHAnsi"/>
          <w:kern w:val="0"/>
          <w:szCs w:val="22"/>
        </w:rPr>
      </w:pPr>
      <w:r w:rsidRPr="0059357F">
        <w:rPr>
          <w:rFonts w:asciiTheme="minorHAnsi" w:hAnsiTheme="minorHAnsi"/>
          <w:kern w:val="0"/>
          <w:szCs w:val="22"/>
        </w:rPr>
        <w:tab/>
        <w:t>Report of Checks Written – August 2018</w:t>
      </w:r>
      <w:r w:rsidRPr="0059357F">
        <w:rPr>
          <w:rFonts w:asciiTheme="minorHAnsi" w:hAnsiTheme="minorHAnsi"/>
          <w:kern w:val="0"/>
          <w:szCs w:val="22"/>
        </w:rPr>
        <w:tab/>
        <w:t>$</w:t>
      </w:r>
      <w:r w:rsidRPr="0059357F">
        <w:rPr>
          <w:rFonts w:asciiTheme="minorHAnsi" w:hAnsiTheme="minorHAnsi"/>
          <w:kern w:val="0"/>
          <w:szCs w:val="22"/>
        </w:rPr>
        <w:tab/>
        <w:t>68,055.84</w:t>
      </w:r>
    </w:p>
    <w:p w:rsidR="0059357F" w:rsidRPr="0059357F" w:rsidRDefault="0059357F" w:rsidP="0059357F">
      <w:pPr>
        <w:tabs>
          <w:tab w:val="num" w:pos="360"/>
          <w:tab w:val="left" w:pos="5947"/>
          <w:tab w:val="right" w:pos="7200"/>
        </w:tabs>
        <w:ind w:left="360" w:hanging="360"/>
        <w:rPr>
          <w:rFonts w:asciiTheme="minorHAnsi" w:hAnsiTheme="minorHAnsi"/>
          <w:kern w:val="0"/>
          <w:szCs w:val="22"/>
        </w:rPr>
      </w:pPr>
      <w:r w:rsidRPr="0059357F">
        <w:rPr>
          <w:rFonts w:asciiTheme="minorHAnsi" w:hAnsiTheme="minorHAnsi"/>
          <w:kern w:val="0"/>
          <w:szCs w:val="22"/>
        </w:rPr>
        <w:tab/>
        <w:t>(less pension checks)</w:t>
      </w:r>
    </w:p>
    <w:p w:rsidR="0059357F" w:rsidRPr="0059357F" w:rsidRDefault="0059357F" w:rsidP="0059357F">
      <w:pPr>
        <w:tabs>
          <w:tab w:val="num" w:pos="360"/>
          <w:tab w:val="left" w:pos="5947"/>
          <w:tab w:val="left" w:pos="6120"/>
          <w:tab w:val="right" w:pos="7200"/>
        </w:tabs>
        <w:ind w:left="360" w:hanging="360"/>
        <w:rPr>
          <w:rFonts w:asciiTheme="minorHAnsi" w:hAnsiTheme="minorHAnsi"/>
          <w:color w:val="0000FF"/>
          <w:kern w:val="0"/>
          <w:szCs w:val="22"/>
        </w:rPr>
      </w:pPr>
    </w:p>
    <w:p w:rsidR="0059357F" w:rsidRPr="0059357F" w:rsidRDefault="0059357F" w:rsidP="0059357F">
      <w:pPr>
        <w:numPr>
          <w:ilvl w:val="0"/>
          <w:numId w:val="40"/>
        </w:numPr>
        <w:tabs>
          <w:tab w:val="clear" w:pos="3060"/>
          <w:tab w:val="num" w:pos="360"/>
          <w:tab w:val="left" w:pos="5947"/>
          <w:tab w:val="left" w:pos="6120"/>
          <w:tab w:val="right" w:pos="7200"/>
        </w:tabs>
        <w:ind w:left="360"/>
        <w:rPr>
          <w:rFonts w:asciiTheme="minorHAnsi" w:hAnsiTheme="minorHAnsi"/>
          <w:kern w:val="0"/>
          <w:szCs w:val="22"/>
        </w:rPr>
      </w:pPr>
      <w:r w:rsidRPr="0059357F">
        <w:rPr>
          <w:rFonts w:asciiTheme="minorHAnsi" w:hAnsiTheme="minorHAnsi"/>
          <w:kern w:val="0"/>
          <w:szCs w:val="22"/>
          <w:u w:val="single"/>
        </w:rPr>
        <w:lastRenderedPageBreak/>
        <w:t>Katherine R. Fagan, City Treasurer</w:t>
      </w:r>
    </w:p>
    <w:p w:rsidR="0059357F" w:rsidRPr="0059357F" w:rsidRDefault="0059357F" w:rsidP="0059357F">
      <w:pPr>
        <w:tabs>
          <w:tab w:val="num" w:pos="360"/>
          <w:tab w:val="left" w:pos="5947"/>
          <w:tab w:val="right" w:pos="7200"/>
        </w:tabs>
        <w:ind w:left="360" w:hanging="360"/>
        <w:rPr>
          <w:rFonts w:asciiTheme="minorHAnsi" w:hAnsiTheme="minorHAnsi"/>
          <w:kern w:val="0"/>
          <w:szCs w:val="22"/>
        </w:rPr>
      </w:pPr>
      <w:r w:rsidRPr="0059357F">
        <w:rPr>
          <w:rFonts w:asciiTheme="minorHAnsi" w:hAnsiTheme="minorHAnsi"/>
          <w:kern w:val="0"/>
          <w:szCs w:val="22"/>
        </w:rPr>
        <w:tab/>
        <w:t>Report of Checks Written – September 2018</w:t>
      </w:r>
      <w:r w:rsidRPr="0059357F">
        <w:rPr>
          <w:rFonts w:asciiTheme="minorHAnsi" w:hAnsiTheme="minorHAnsi"/>
          <w:kern w:val="0"/>
          <w:szCs w:val="22"/>
        </w:rPr>
        <w:tab/>
        <w:t>$</w:t>
      </w:r>
      <w:r w:rsidRPr="0059357F">
        <w:rPr>
          <w:rFonts w:asciiTheme="minorHAnsi" w:hAnsiTheme="minorHAnsi"/>
          <w:kern w:val="0"/>
          <w:szCs w:val="22"/>
        </w:rPr>
        <w:tab/>
        <w:t>1,348.20</w:t>
      </w:r>
    </w:p>
    <w:p w:rsidR="0059357F" w:rsidRPr="0059357F" w:rsidRDefault="0059357F" w:rsidP="0059357F">
      <w:pPr>
        <w:tabs>
          <w:tab w:val="num" w:pos="360"/>
          <w:tab w:val="left" w:pos="5947"/>
          <w:tab w:val="right" w:pos="7200"/>
        </w:tabs>
        <w:ind w:left="360" w:hanging="360"/>
        <w:rPr>
          <w:rFonts w:asciiTheme="minorHAnsi" w:hAnsiTheme="minorHAnsi"/>
          <w:kern w:val="0"/>
          <w:szCs w:val="22"/>
        </w:rPr>
      </w:pPr>
      <w:r w:rsidRPr="0059357F">
        <w:rPr>
          <w:rFonts w:asciiTheme="minorHAnsi" w:hAnsiTheme="minorHAnsi"/>
          <w:kern w:val="0"/>
          <w:szCs w:val="22"/>
        </w:rPr>
        <w:tab/>
        <w:t>(less pension checks)</w:t>
      </w:r>
    </w:p>
    <w:p w:rsidR="0059357F" w:rsidRPr="0059357F" w:rsidRDefault="0059357F" w:rsidP="0059357F">
      <w:pPr>
        <w:tabs>
          <w:tab w:val="left" w:pos="360"/>
          <w:tab w:val="left" w:pos="5947"/>
          <w:tab w:val="right" w:pos="7200"/>
        </w:tabs>
        <w:rPr>
          <w:rFonts w:asciiTheme="minorHAnsi" w:hAnsiTheme="minorHAnsi"/>
          <w:b/>
          <w:kern w:val="0"/>
          <w:szCs w:val="22"/>
          <w:u w:val="single"/>
        </w:rPr>
      </w:pPr>
      <w:r w:rsidRPr="0059357F">
        <w:rPr>
          <w:rFonts w:asciiTheme="minorHAnsi" w:hAnsiTheme="minorHAnsi"/>
          <w:b/>
          <w:kern w:val="0"/>
          <w:szCs w:val="22"/>
          <w:u w:val="single"/>
        </w:rPr>
        <w:t>Death Acknowledgements</w:t>
      </w:r>
    </w:p>
    <w:p w:rsidR="0059357F" w:rsidRPr="0059357F" w:rsidRDefault="0059357F" w:rsidP="0059357F">
      <w:pPr>
        <w:tabs>
          <w:tab w:val="left" w:pos="360"/>
          <w:tab w:val="left" w:pos="5947"/>
          <w:tab w:val="right" w:pos="7200"/>
        </w:tabs>
        <w:rPr>
          <w:rFonts w:asciiTheme="minorHAnsi" w:hAnsiTheme="minorHAnsi"/>
          <w:b/>
          <w:kern w:val="0"/>
          <w:szCs w:val="22"/>
          <w:u w:val="single"/>
        </w:rPr>
      </w:pPr>
    </w:p>
    <w:p w:rsidR="0059357F" w:rsidRPr="0059357F" w:rsidRDefault="0059357F" w:rsidP="0059357F">
      <w:pPr>
        <w:numPr>
          <w:ilvl w:val="0"/>
          <w:numId w:val="39"/>
        </w:numPr>
        <w:tabs>
          <w:tab w:val="clear" w:pos="1260"/>
          <w:tab w:val="num" w:pos="360"/>
          <w:tab w:val="left" w:pos="5947"/>
          <w:tab w:val="right" w:pos="7200"/>
        </w:tabs>
        <w:ind w:left="360"/>
        <w:rPr>
          <w:rFonts w:asciiTheme="minorHAnsi" w:hAnsiTheme="minorHAnsi"/>
          <w:kern w:val="0"/>
          <w:szCs w:val="22"/>
        </w:rPr>
      </w:pPr>
      <w:r w:rsidRPr="0059357F">
        <w:rPr>
          <w:rFonts w:asciiTheme="minorHAnsi" w:hAnsiTheme="minorHAnsi"/>
          <w:kern w:val="0"/>
          <w:szCs w:val="22"/>
        </w:rPr>
        <w:t>Jeanette Morgan – August 31, 2018</w:t>
      </w:r>
    </w:p>
    <w:p w:rsidR="000A2C11" w:rsidRDefault="000A2C11" w:rsidP="0059357F">
      <w:pPr>
        <w:tabs>
          <w:tab w:val="left" w:pos="360"/>
          <w:tab w:val="left" w:pos="720"/>
          <w:tab w:val="left" w:pos="5947"/>
          <w:tab w:val="right" w:pos="7200"/>
        </w:tabs>
      </w:pPr>
    </w:p>
    <w:p w:rsidR="005C5DEB" w:rsidRDefault="00661F29" w:rsidP="004806E1">
      <w:r>
        <w:t>Motion</w:t>
      </w:r>
      <w:r w:rsidR="005C5DEB">
        <w:t xml:space="preserve"> supported by</w:t>
      </w:r>
      <w:r w:rsidR="00F56A43" w:rsidRPr="00F56A43">
        <w:t xml:space="preserve"> </w:t>
      </w:r>
      <w:sdt>
        <w:sdtPr>
          <w:alias w:val="Name"/>
          <w:tag w:val="Name"/>
          <w:id w:val="852922449"/>
          <w:placeholder>
            <w:docPart w:val="C78CEED4A2564CBCAF74D818FD711CA4"/>
          </w:placeholder>
          <w:dropDownList>
            <w:listItem w:displayText="Trustee Brewbaker" w:value="Trustee Brewbaker"/>
            <w:listItem w:displayText="Trustee Fox" w:value="Trustee Fox"/>
            <w:listItem w:displayText="Trustee Greenway" w:value="Trustee Greenway"/>
            <w:listItem w:displayText="Trustee Morrice" w:value="Trustee Morrice"/>
            <w:listItem w:displayText="Trustee Reed" w:value="Trustee Reed"/>
            <w:listItem w:displayText="Vice Chairperson Mitchell" w:value="Vice Chairperson Mitchell"/>
            <w:listItem w:displayText="Chairperson Farrell" w:value="Chairperson Farrell"/>
          </w:dropDownList>
        </w:sdtPr>
        <w:sdtEndPr/>
        <w:sdtContent>
          <w:r w:rsidR="0059357F">
            <w:t>Trustee Brewbaker</w:t>
          </w:r>
        </w:sdtContent>
      </w:sdt>
      <w:r w:rsidR="00F56A43">
        <w:t xml:space="preserve"> </w:t>
      </w:r>
      <w:r w:rsidR="005C5DEB">
        <w:t>and concurred in by unanimous vote.</w:t>
      </w:r>
    </w:p>
    <w:p w:rsidR="005C5DEB" w:rsidRPr="005C5DEB" w:rsidRDefault="005C5DEB" w:rsidP="004806E1">
      <w:r>
        <w:t xml:space="preserve"> </w:t>
      </w:r>
    </w:p>
    <w:p w:rsidR="00A3556E" w:rsidRDefault="00A3556E" w:rsidP="000A2C11">
      <w:pPr>
        <w:pStyle w:val="Heading1"/>
      </w:pPr>
      <w:r w:rsidRPr="00335107">
        <w:t>COMMUNICATIONS:</w:t>
      </w:r>
    </w:p>
    <w:p w:rsidR="00027596" w:rsidRPr="00335107" w:rsidRDefault="00027596" w:rsidP="004806E1">
      <w:pPr>
        <w:rPr>
          <w:b/>
        </w:rPr>
      </w:pPr>
    </w:p>
    <w:p w:rsidR="0059357F" w:rsidRPr="0059357F" w:rsidRDefault="0059357F" w:rsidP="0059357F">
      <w:pPr>
        <w:tabs>
          <w:tab w:val="left" w:pos="5947"/>
          <w:tab w:val="right" w:pos="7200"/>
        </w:tabs>
        <w:rPr>
          <w:rFonts w:asciiTheme="minorHAnsi" w:hAnsiTheme="minorHAnsi"/>
          <w:kern w:val="0"/>
          <w:szCs w:val="22"/>
        </w:rPr>
      </w:pPr>
      <w:r w:rsidRPr="0059357F">
        <w:rPr>
          <w:rFonts w:asciiTheme="minorHAnsi" w:hAnsiTheme="minorHAnsi"/>
          <w:kern w:val="0"/>
          <w:szCs w:val="22"/>
        </w:rPr>
        <w:t xml:space="preserve">Michigan Department of Treasury - </w:t>
      </w:r>
      <w:r w:rsidRPr="0059357F">
        <w:rPr>
          <w:rFonts w:asciiTheme="minorHAnsi" w:hAnsiTheme="minorHAnsi"/>
          <w:i/>
          <w:kern w:val="0"/>
          <w:szCs w:val="22"/>
        </w:rPr>
        <w:t>Uniform Actuarial Assumptions Update</w:t>
      </w:r>
      <w:r w:rsidRPr="0059357F">
        <w:rPr>
          <w:rFonts w:asciiTheme="minorHAnsi" w:hAnsiTheme="minorHAnsi"/>
          <w:kern w:val="0"/>
          <w:szCs w:val="22"/>
        </w:rPr>
        <w:t xml:space="preserve"> </w:t>
      </w:r>
    </w:p>
    <w:p w:rsidR="0059357F" w:rsidRPr="0059357F" w:rsidRDefault="0059357F" w:rsidP="0059357F">
      <w:pPr>
        <w:tabs>
          <w:tab w:val="left" w:pos="5947"/>
          <w:tab w:val="right" w:pos="7200"/>
        </w:tabs>
        <w:rPr>
          <w:rFonts w:asciiTheme="minorHAnsi" w:hAnsiTheme="minorHAnsi"/>
          <w:kern w:val="0"/>
          <w:szCs w:val="22"/>
        </w:rPr>
      </w:pPr>
      <w:r w:rsidRPr="0059357F">
        <w:rPr>
          <w:rFonts w:asciiTheme="minorHAnsi" w:hAnsiTheme="minorHAnsi"/>
          <w:kern w:val="0"/>
          <w:szCs w:val="22"/>
        </w:rPr>
        <w:t xml:space="preserve">Michigan Department of Treasury – </w:t>
      </w:r>
      <w:r w:rsidRPr="0059357F">
        <w:rPr>
          <w:rFonts w:asciiTheme="minorHAnsi" w:hAnsiTheme="minorHAnsi"/>
          <w:i/>
          <w:kern w:val="0"/>
          <w:szCs w:val="22"/>
        </w:rPr>
        <w:t>Numbered Letter 2018-3</w:t>
      </w:r>
      <w:r w:rsidRPr="0059357F">
        <w:rPr>
          <w:rFonts w:asciiTheme="minorHAnsi" w:hAnsiTheme="minorHAnsi"/>
          <w:kern w:val="0"/>
          <w:szCs w:val="22"/>
        </w:rPr>
        <w:t xml:space="preserve">  </w:t>
      </w:r>
    </w:p>
    <w:p w:rsidR="0059357F" w:rsidRPr="0059357F" w:rsidRDefault="0059357F" w:rsidP="0059357F">
      <w:pPr>
        <w:tabs>
          <w:tab w:val="left" w:pos="5947"/>
          <w:tab w:val="right" w:pos="7200"/>
        </w:tabs>
        <w:rPr>
          <w:kern w:val="0"/>
          <w:szCs w:val="22"/>
        </w:rPr>
      </w:pPr>
      <w:r w:rsidRPr="0059357F">
        <w:rPr>
          <w:kern w:val="0"/>
          <w:szCs w:val="22"/>
        </w:rPr>
        <w:t xml:space="preserve">Kenneth G. Alberts, Gabriel Roeder &amp; Smith – </w:t>
      </w:r>
      <w:r w:rsidRPr="0059357F">
        <w:rPr>
          <w:i/>
          <w:kern w:val="0"/>
          <w:szCs w:val="22"/>
        </w:rPr>
        <w:t>2018 Projected Actuarial Fees</w:t>
      </w:r>
    </w:p>
    <w:p w:rsidR="0059357F" w:rsidRPr="0059357F" w:rsidRDefault="0059357F" w:rsidP="0059357F">
      <w:pPr>
        <w:tabs>
          <w:tab w:val="left" w:pos="5947"/>
          <w:tab w:val="right" w:pos="7200"/>
        </w:tabs>
        <w:rPr>
          <w:kern w:val="0"/>
          <w:szCs w:val="22"/>
        </w:rPr>
      </w:pPr>
      <w:r w:rsidRPr="0059357F">
        <w:rPr>
          <w:kern w:val="0"/>
          <w:szCs w:val="22"/>
        </w:rPr>
        <w:t>Morgan Stanley –</w:t>
      </w:r>
      <w:r w:rsidRPr="0059357F">
        <w:rPr>
          <w:i/>
          <w:kern w:val="0"/>
          <w:szCs w:val="22"/>
        </w:rPr>
        <w:t xml:space="preserve"> Changes to your proxy voting</w:t>
      </w:r>
    </w:p>
    <w:p w:rsidR="0059357F" w:rsidRPr="0059357F" w:rsidRDefault="0059357F" w:rsidP="0059357F">
      <w:pPr>
        <w:tabs>
          <w:tab w:val="left" w:pos="5947"/>
          <w:tab w:val="right" w:pos="7200"/>
        </w:tabs>
        <w:rPr>
          <w:kern w:val="0"/>
          <w:szCs w:val="22"/>
        </w:rPr>
      </w:pPr>
      <w:r w:rsidRPr="0059357F">
        <w:rPr>
          <w:kern w:val="0"/>
          <w:szCs w:val="22"/>
        </w:rPr>
        <w:t xml:space="preserve">Cammack Retirement – </w:t>
      </w:r>
      <w:r w:rsidRPr="0059357F">
        <w:rPr>
          <w:i/>
          <w:kern w:val="0"/>
          <w:szCs w:val="22"/>
        </w:rPr>
        <w:t>Chart of the Month, August 23, 2018</w:t>
      </w:r>
    </w:p>
    <w:p w:rsidR="0059357F" w:rsidRPr="0059357F" w:rsidRDefault="0059357F" w:rsidP="0059357F">
      <w:pPr>
        <w:tabs>
          <w:tab w:val="left" w:pos="5947"/>
          <w:tab w:val="right" w:pos="7200"/>
        </w:tabs>
        <w:rPr>
          <w:kern w:val="0"/>
          <w:szCs w:val="22"/>
        </w:rPr>
      </w:pPr>
      <w:r w:rsidRPr="0059357F">
        <w:rPr>
          <w:kern w:val="0"/>
          <w:szCs w:val="22"/>
        </w:rPr>
        <w:t xml:space="preserve">Gabriel Roeder &amp; Smith – </w:t>
      </w:r>
      <w:r w:rsidRPr="0059357F">
        <w:rPr>
          <w:i/>
          <w:kern w:val="0"/>
          <w:szCs w:val="22"/>
        </w:rPr>
        <w:t>NewsScan, August 2018</w:t>
      </w:r>
    </w:p>
    <w:p w:rsidR="0059357F" w:rsidRPr="0059357F" w:rsidRDefault="0059357F" w:rsidP="0059357F">
      <w:pPr>
        <w:tabs>
          <w:tab w:val="left" w:pos="5947"/>
          <w:tab w:val="right" w:pos="7200"/>
        </w:tabs>
        <w:rPr>
          <w:kern w:val="0"/>
          <w:szCs w:val="22"/>
        </w:rPr>
      </w:pPr>
      <w:r w:rsidRPr="0059357F">
        <w:rPr>
          <w:kern w:val="0"/>
          <w:szCs w:val="22"/>
        </w:rPr>
        <w:t xml:space="preserve">Gabriel Roeder &amp; Smith – </w:t>
      </w:r>
      <w:r w:rsidRPr="0059357F">
        <w:rPr>
          <w:i/>
          <w:kern w:val="0"/>
          <w:szCs w:val="22"/>
        </w:rPr>
        <w:t>NewsScan, September 2018</w:t>
      </w:r>
    </w:p>
    <w:p w:rsidR="0059357F" w:rsidRPr="0059357F" w:rsidRDefault="0059357F" w:rsidP="0059357F">
      <w:pPr>
        <w:tabs>
          <w:tab w:val="left" w:pos="5947"/>
          <w:tab w:val="right" w:pos="7200"/>
        </w:tabs>
        <w:rPr>
          <w:kern w:val="0"/>
          <w:szCs w:val="22"/>
        </w:rPr>
      </w:pPr>
      <w:r w:rsidRPr="0059357F">
        <w:rPr>
          <w:kern w:val="0"/>
          <w:szCs w:val="22"/>
        </w:rPr>
        <w:t xml:space="preserve">Gabriel Roeder &amp; Smith – </w:t>
      </w:r>
      <w:r w:rsidRPr="0059357F">
        <w:rPr>
          <w:i/>
          <w:kern w:val="0"/>
          <w:szCs w:val="22"/>
        </w:rPr>
        <w:t>Perspectives, August 2018</w:t>
      </w:r>
    </w:p>
    <w:p w:rsidR="0059357F" w:rsidRPr="0059357F" w:rsidRDefault="0059357F" w:rsidP="0059357F">
      <w:pPr>
        <w:tabs>
          <w:tab w:val="left" w:pos="5947"/>
          <w:tab w:val="right" w:pos="7200"/>
        </w:tabs>
        <w:rPr>
          <w:kern w:val="0"/>
          <w:szCs w:val="22"/>
        </w:rPr>
      </w:pPr>
      <w:r w:rsidRPr="0059357F">
        <w:rPr>
          <w:kern w:val="0"/>
          <w:szCs w:val="22"/>
        </w:rPr>
        <w:t xml:space="preserve">Gabriel Roeder &amp; Smith – </w:t>
      </w:r>
      <w:r w:rsidRPr="0059357F">
        <w:rPr>
          <w:i/>
          <w:kern w:val="0"/>
          <w:szCs w:val="22"/>
        </w:rPr>
        <w:t>Perspectives, October 2018</w:t>
      </w:r>
    </w:p>
    <w:p w:rsidR="0059357F" w:rsidRPr="0059357F" w:rsidRDefault="0059357F" w:rsidP="0059357F">
      <w:pPr>
        <w:tabs>
          <w:tab w:val="left" w:pos="360"/>
          <w:tab w:val="left" w:pos="5947"/>
          <w:tab w:val="right" w:pos="7200"/>
        </w:tabs>
        <w:rPr>
          <w:color w:val="FF0000" w:themeColor="text2"/>
          <w:kern w:val="0"/>
          <w:szCs w:val="22"/>
        </w:rPr>
      </w:pPr>
    </w:p>
    <w:p w:rsidR="0059357F" w:rsidRPr="0059357F" w:rsidRDefault="0059357F" w:rsidP="0059357F">
      <w:pPr>
        <w:tabs>
          <w:tab w:val="left" w:pos="360"/>
          <w:tab w:val="left" w:pos="5947"/>
          <w:tab w:val="right" w:pos="7200"/>
        </w:tabs>
        <w:rPr>
          <w:kern w:val="0"/>
          <w:szCs w:val="22"/>
        </w:rPr>
      </w:pPr>
      <w:r w:rsidRPr="0059357F">
        <w:rPr>
          <w:kern w:val="0"/>
          <w:szCs w:val="22"/>
        </w:rPr>
        <w:t>The following communications, publications and conference announcements are on file with the City Clerk – if you would like to read them, please contact her:</w:t>
      </w:r>
    </w:p>
    <w:p w:rsidR="0059357F" w:rsidRPr="0059357F" w:rsidRDefault="0059357F" w:rsidP="0059357F">
      <w:pPr>
        <w:tabs>
          <w:tab w:val="left" w:pos="360"/>
          <w:tab w:val="left" w:pos="5947"/>
          <w:tab w:val="right" w:pos="7200"/>
        </w:tabs>
        <w:ind w:left="720"/>
        <w:rPr>
          <w:rFonts w:asciiTheme="minorHAnsi" w:hAnsiTheme="minorHAnsi"/>
          <w:color w:val="FF0000" w:themeColor="text2"/>
          <w:kern w:val="0"/>
          <w:szCs w:val="22"/>
        </w:rPr>
      </w:pPr>
    </w:p>
    <w:p w:rsidR="0059357F" w:rsidRPr="0059357F" w:rsidRDefault="0059357F" w:rsidP="0059357F">
      <w:pPr>
        <w:tabs>
          <w:tab w:val="left" w:pos="360"/>
          <w:tab w:val="left" w:pos="5947"/>
          <w:tab w:val="right" w:pos="7200"/>
        </w:tabs>
        <w:rPr>
          <w:rFonts w:asciiTheme="minorHAnsi" w:hAnsiTheme="minorHAnsi"/>
          <w:kern w:val="0"/>
          <w:szCs w:val="22"/>
        </w:rPr>
      </w:pPr>
      <w:r w:rsidRPr="0059357F">
        <w:rPr>
          <w:rFonts w:asciiTheme="minorHAnsi" w:hAnsiTheme="minorHAnsi"/>
          <w:kern w:val="0"/>
          <w:szCs w:val="22"/>
        </w:rPr>
        <w:t xml:space="preserve">Morgan Stanley:  </w:t>
      </w:r>
      <w:r w:rsidRPr="0059357F">
        <w:rPr>
          <w:rFonts w:asciiTheme="minorHAnsi" w:hAnsiTheme="minorHAnsi"/>
          <w:i/>
          <w:kern w:val="0"/>
          <w:szCs w:val="22"/>
        </w:rPr>
        <w:t>FYI, 4Q2018</w:t>
      </w:r>
    </w:p>
    <w:p w:rsidR="0059357F" w:rsidRPr="0059357F" w:rsidRDefault="0059357F" w:rsidP="0059357F">
      <w:pPr>
        <w:tabs>
          <w:tab w:val="left" w:pos="360"/>
          <w:tab w:val="left" w:pos="5947"/>
          <w:tab w:val="right" w:pos="7200"/>
        </w:tabs>
        <w:rPr>
          <w:rFonts w:asciiTheme="minorHAnsi" w:hAnsiTheme="minorHAnsi"/>
          <w:kern w:val="0"/>
          <w:szCs w:val="22"/>
        </w:rPr>
      </w:pPr>
      <w:r w:rsidRPr="0059357F">
        <w:rPr>
          <w:rFonts w:asciiTheme="minorHAnsi" w:hAnsiTheme="minorHAnsi"/>
          <w:kern w:val="0"/>
          <w:szCs w:val="22"/>
        </w:rPr>
        <w:t xml:space="preserve">Pensions &amp; Investments: </w:t>
      </w:r>
      <w:r w:rsidRPr="0059357F">
        <w:rPr>
          <w:rFonts w:asciiTheme="minorHAnsi" w:hAnsiTheme="minorHAnsi"/>
          <w:i/>
          <w:kern w:val="0"/>
          <w:szCs w:val="22"/>
        </w:rPr>
        <w:t xml:space="preserve"> August 20, 2018</w:t>
      </w:r>
    </w:p>
    <w:p w:rsidR="0059357F" w:rsidRPr="0059357F" w:rsidRDefault="0059357F" w:rsidP="0059357F">
      <w:pPr>
        <w:tabs>
          <w:tab w:val="left" w:pos="360"/>
          <w:tab w:val="left" w:pos="5947"/>
          <w:tab w:val="right" w:pos="7200"/>
        </w:tabs>
        <w:rPr>
          <w:rFonts w:asciiTheme="minorHAnsi" w:hAnsiTheme="minorHAnsi"/>
          <w:kern w:val="0"/>
          <w:szCs w:val="22"/>
        </w:rPr>
      </w:pPr>
      <w:r w:rsidRPr="0059357F">
        <w:rPr>
          <w:rFonts w:asciiTheme="minorHAnsi" w:hAnsiTheme="minorHAnsi"/>
          <w:kern w:val="0"/>
          <w:szCs w:val="22"/>
        </w:rPr>
        <w:t xml:space="preserve">Pensions &amp; Investments: </w:t>
      </w:r>
      <w:r w:rsidRPr="0059357F">
        <w:rPr>
          <w:rFonts w:asciiTheme="minorHAnsi" w:hAnsiTheme="minorHAnsi"/>
          <w:i/>
          <w:kern w:val="0"/>
          <w:szCs w:val="22"/>
        </w:rPr>
        <w:t xml:space="preserve"> September 3, 2018</w:t>
      </w:r>
    </w:p>
    <w:p w:rsidR="0059357F" w:rsidRPr="0059357F" w:rsidRDefault="0059357F" w:rsidP="0059357F">
      <w:pPr>
        <w:tabs>
          <w:tab w:val="left" w:pos="360"/>
          <w:tab w:val="left" w:pos="5947"/>
          <w:tab w:val="right" w:pos="7200"/>
        </w:tabs>
        <w:rPr>
          <w:rFonts w:asciiTheme="minorHAnsi" w:hAnsiTheme="minorHAnsi"/>
          <w:kern w:val="0"/>
          <w:szCs w:val="22"/>
        </w:rPr>
      </w:pPr>
      <w:r w:rsidRPr="0059357F">
        <w:rPr>
          <w:rFonts w:asciiTheme="minorHAnsi" w:hAnsiTheme="minorHAnsi"/>
          <w:kern w:val="0"/>
          <w:szCs w:val="22"/>
        </w:rPr>
        <w:t xml:space="preserve">Pensions &amp; Investments: </w:t>
      </w:r>
      <w:r w:rsidRPr="0059357F">
        <w:rPr>
          <w:rFonts w:asciiTheme="minorHAnsi" w:hAnsiTheme="minorHAnsi"/>
          <w:i/>
          <w:kern w:val="0"/>
          <w:szCs w:val="22"/>
        </w:rPr>
        <w:t xml:space="preserve"> September 17, 2018</w:t>
      </w:r>
    </w:p>
    <w:p w:rsidR="0059357F" w:rsidRPr="0059357F" w:rsidRDefault="0059357F" w:rsidP="0059357F">
      <w:pPr>
        <w:tabs>
          <w:tab w:val="left" w:pos="360"/>
        </w:tabs>
        <w:rPr>
          <w:rFonts w:asciiTheme="minorHAnsi" w:hAnsiTheme="minorHAnsi"/>
          <w:kern w:val="0"/>
          <w:szCs w:val="22"/>
        </w:rPr>
      </w:pPr>
      <w:r w:rsidRPr="0059357F">
        <w:rPr>
          <w:rFonts w:asciiTheme="minorHAnsi" w:hAnsiTheme="minorHAnsi"/>
          <w:kern w:val="0"/>
          <w:szCs w:val="22"/>
        </w:rPr>
        <w:t xml:space="preserve">Pensions &amp; Investments: </w:t>
      </w:r>
      <w:r w:rsidRPr="0059357F">
        <w:rPr>
          <w:rFonts w:asciiTheme="minorHAnsi" w:hAnsiTheme="minorHAnsi"/>
          <w:i/>
          <w:kern w:val="0"/>
          <w:szCs w:val="22"/>
        </w:rPr>
        <w:t xml:space="preserve"> October 1, 2018</w:t>
      </w:r>
    </w:p>
    <w:p w:rsidR="00B51027" w:rsidRDefault="00B51027" w:rsidP="004806E1"/>
    <w:p w:rsidR="0059357F" w:rsidRDefault="0059357F" w:rsidP="004806E1">
      <w:pPr>
        <w:rPr>
          <w:rFonts w:asciiTheme="minorHAnsi" w:hAnsiTheme="minorHAnsi"/>
          <w:kern w:val="0"/>
          <w:szCs w:val="22"/>
        </w:rPr>
      </w:pPr>
      <w:r>
        <w:t xml:space="preserve">City Clerk Amy K. Kirkland commented in regard to the </w:t>
      </w:r>
      <w:r w:rsidRPr="0059357F">
        <w:rPr>
          <w:rFonts w:asciiTheme="minorHAnsi" w:hAnsiTheme="minorHAnsi"/>
          <w:i/>
          <w:kern w:val="0"/>
          <w:szCs w:val="22"/>
        </w:rPr>
        <w:t>Uniform Actuarial Assumptions Update</w:t>
      </w:r>
      <w:r>
        <w:rPr>
          <w:rFonts w:asciiTheme="minorHAnsi" w:hAnsiTheme="minorHAnsi"/>
          <w:i/>
          <w:kern w:val="0"/>
          <w:szCs w:val="22"/>
        </w:rPr>
        <w:t xml:space="preserve"> </w:t>
      </w:r>
      <w:r>
        <w:rPr>
          <w:rFonts w:asciiTheme="minorHAnsi" w:hAnsiTheme="minorHAnsi"/>
          <w:kern w:val="0"/>
          <w:szCs w:val="22"/>
        </w:rPr>
        <w:t>from the Michigan Department of Treasury saying the System will only be required to use the new assumpti</w:t>
      </w:r>
      <w:r w:rsidR="009A6EF4">
        <w:rPr>
          <w:rFonts w:asciiTheme="minorHAnsi" w:hAnsiTheme="minorHAnsi"/>
          <w:kern w:val="0"/>
          <w:szCs w:val="22"/>
        </w:rPr>
        <w:t>ons when reporting to the State, but the extra work involved to generate a second report using the required assumptions will cost between $2,500.00 and $4,000.00.</w:t>
      </w:r>
      <w:r>
        <w:rPr>
          <w:rFonts w:asciiTheme="minorHAnsi" w:hAnsiTheme="minorHAnsi"/>
          <w:kern w:val="0"/>
          <w:szCs w:val="22"/>
        </w:rPr>
        <w:t xml:space="preserve">  Graystone Analyst Erik Burger also commented saying he had spoken with the System’s actuary </w:t>
      </w:r>
      <w:r w:rsidR="009A6EF4">
        <w:rPr>
          <w:rFonts w:asciiTheme="minorHAnsi" w:hAnsiTheme="minorHAnsi"/>
          <w:kern w:val="0"/>
          <w:szCs w:val="22"/>
        </w:rPr>
        <w:t>about the new assumptions and he indicated that he would like to spend some time at the April 2019 to explain the new regulations.</w:t>
      </w:r>
    </w:p>
    <w:p w:rsidR="009A6EF4" w:rsidRDefault="009A6EF4" w:rsidP="004806E1">
      <w:pPr>
        <w:rPr>
          <w:rFonts w:asciiTheme="minorHAnsi" w:hAnsiTheme="minorHAnsi"/>
          <w:kern w:val="0"/>
          <w:szCs w:val="22"/>
        </w:rPr>
      </w:pPr>
    </w:p>
    <w:p w:rsidR="009A6EF4" w:rsidRDefault="009A6EF4" w:rsidP="004806E1">
      <w:pPr>
        <w:rPr>
          <w:rFonts w:asciiTheme="minorHAnsi" w:hAnsiTheme="minorHAnsi"/>
          <w:kern w:val="0"/>
          <w:szCs w:val="22"/>
        </w:rPr>
      </w:pPr>
      <w:r>
        <w:rPr>
          <w:rFonts w:asciiTheme="minorHAnsi" w:hAnsiTheme="minorHAnsi"/>
          <w:kern w:val="0"/>
          <w:szCs w:val="22"/>
        </w:rPr>
        <w:t xml:space="preserve">City Attorney Scott J. Gould commented on </w:t>
      </w:r>
      <w:r w:rsidRPr="0059357F">
        <w:rPr>
          <w:rFonts w:asciiTheme="minorHAnsi" w:hAnsiTheme="minorHAnsi"/>
          <w:i/>
          <w:kern w:val="0"/>
          <w:szCs w:val="22"/>
        </w:rPr>
        <w:t>Numbered Letter 2018-3</w:t>
      </w:r>
      <w:r w:rsidRPr="0059357F">
        <w:rPr>
          <w:rFonts w:asciiTheme="minorHAnsi" w:hAnsiTheme="minorHAnsi"/>
          <w:kern w:val="0"/>
          <w:szCs w:val="22"/>
        </w:rPr>
        <w:t xml:space="preserve"> </w:t>
      </w:r>
      <w:r>
        <w:rPr>
          <w:rFonts w:asciiTheme="minorHAnsi" w:hAnsiTheme="minorHAnsi"/>
          <w:kern w:val="0"/>
          <w:szCs w:val="22"/>
        </w:rPr>
        <w:t>from the Michigan Department of Treasury saying he does not think this new regulation will apply to the System.</w:t>
      </w:r>
    </w:p>
    <w:p w:rsidR="009A6EF4" w:rsidRDefault="009A6EF4" w:rsidP="004806E1">
      <w:pPr>
        <w:rPr>
          <w:rFonts w:asciiTheme="minorHAnsi" w:hAnsiTheme="minorHAnsi"/>
          <w:kern w:val="0"/>
          <w:szCs w:val="22"/>
        </w:rPr>
      </w:pPr>
    </w:p>
    <w:p w:rsidR="009A6EF4" w:rsidRDefault="009A6EF4" w:rsidP="004806E1">
      <w:pPr>
        <w:rPr>
          <w:rFonts w:asciiTheme="minorHAnsi" w:hAnsiTheme="minorHAnsi"/>
          <w:kern w:val="0"/>
          <w:szCs w:val="22"/>
        </w:rPr>
      </w:pPr>
      <w:r>
        <w:rPr>
          <w:rFonts w:asciiTheme="minorHAnsi" w:hAnsiTheme="minorHAnsi"/>
          <w:kern w:val="0"/>
          <w:szCs w:val="22"/>
        </w:rPr>
        <w:t>Lastly, in regard to the communication from Morgan Stanley about proxy voting, Mr. Burger indicated that the System’s money managers vote on behalf of the System so the communication marks no change.</w:t>
      </w:r>
    </w:p>
    <w:p w:rsidR="005306EC" w:rsidRDefault="005306EC" w:rsidP="004806E1">
      <w:pPr>
        <w:rPr>
          <w:rFonts w:asciiTheme="minorHAnsi" w:hAnsiTheme="minorHAnsi"/>
          <w:kern w:val="0"/>
          <w:szCs w:val="22"/>
        </w:rPr>
      </w:pPr>
    </w:p>
    <w:p w:rsidR="005306EC" w:rsidRPr="009A6EF4" w:rsidRDefault="005306EC" w:rsidP="004806E1">
      <w:pPr>
        <w:rPr>
          <w:rFonts w:asciiTheme="minorHAnsi" w:hAnsiTheme="minorHAnsi"/>
          <w:kern w:val="0"/>
          <w:szCs w:val="22"/>
        </w:rPr>
      </w:pPr>
      <w:r>
        <w:rPr>
          <w:rFonts w:asciiTheme="minorHAnsi" w:hAnsiTheme="minorHAnsi"/>
          <w:kern w:val="0"/>
          <w:szCs w:val="22"/>
        </w:rPr>
        <w:t>There was a brief discussion about inviting the System’s Actuary Ken Alberts to the February 2019 meeting.</w:t>
      </w:r>
    </w:p>
    <w:p w:rsidR="0059357F" w:rsidRPr="00042E7B" w:rsidRDefault="0059357F" w:rsidP="004806E1"/>
    <w:p w:rsidR="00CE39AA" w:rsidRPr="00335107" w:rsidRDefault="00CE39AA" w:rsidP="00382E48">
      <w:pPr>
        <w:pStyle w:val="Heading1"/>
      </w:pPr>
      <w:r w:rsidRPr="00335107">
        <w:t>OLD BUSINESS:</w:t>
      </w:r>
    </w:p>
    <w:p w:rsidR="00F97EA7" w:rsidRDefault="00F97EA7" w:rsidP="004806E1">
      <w:pPr>
        <w:pStyle w:val="Header"/>
        <w:tabs>
          <w:tab w:val="clear" w:pos="4320"/>
          <w:tab w:val="clear" w:pos="8640"/>
        </w:tabs>
        <w:rPr>
          <w:rFonts w:ascii="Arial" w:hAnsi="Arial"/>
        </w:rPr>
      </w:pPr>
    </w:p>
    <w:p w:rsidR="00AE3D15" w:rsidRDefault="00AE3D15" w:rsidP="004806E1">
      <w:r w:rsidRPr="002C68F4">
        <w:rPr>
          <w:b/>
          <w:u w:val="single"/>
        </w:rPr>
        <w:t>Fiduciary Liability Insurance</w:t>
      </w:r>
      <w:r>
        <w:t xml:space="preserve"> </w:t>
      </w:r>
    </w:p>
    <w:p w:rsidR="00AE3D15" w:rsidRDefault="00AE3D15" w:rsidP="004806E1"/>
    <w:p w:rsidR="00115C92" w:rsidRDefault="00AE3D15" w:rsidP="004806E1">
      <w:pPr>
        <w:sectPr w:rsidR="00115C92" w:rsidSect="00530DEE">
          <w:footerReference w:type="even" r:id="rId8"/>
          <w:footerReference w:type="default" r:id="rId9"/>
          <w:pgSz w:w="12240" w:h="15840"/>
          <w:pgMar w:top="1440" w:right="1440" w:bottom="1440" w:left="1440" w:header="720" w:footer="720" w:gutter="0"/>
          <w:cols w:space="720"/>
          <w:docGrid w:linePitch="360"/>
        </w:sectPr>
      </w:pPr>
      <w:r>
        <w:t xml:space="preserve">City Attorney Gould provided a memo to the Board </w:t>
      </w:r>
      <w:r w:rsidR="00137234">
        <w:t>saying it was a continuation of his August 22</w:t>
      </w:r>
      <w:r w:rsidR="00137234" w:rsidRPr="00137234">
        <w:rPr>
          <w:vertAlign w:val="superscript"/>
        </w:rPr>
        <w:t>nd</w:t>
      </w:r>
      <w:r w:rsidR="00137234">
        <w:t xml:space="preserve"> memo on the matter.  He said that further exploration of the subject produced the same conclusions as it had in August.  He feels that Trustees are covered by common law, state law, and precedent, but the Board may </w:t>
      </w:r>
    </w:p>
    <w:p w:rsidR="00CE39AA" w:rsidRDefault="00137234" w:rsidP="004806E1">
      <w:r>
        <w:t xml:space="preserve">feel the purchase of fiduciary liability insurance is simply a good business decision given the cost ($3,000.00 - $10,000.00 per year).  At the least, he encouraged the Board to review its internal policies to make sure each Trustee knows the standard to which they are held and suggested the development of a statement to that effect which each Trustee would sign.  </w:t>
      </w:r>
    </w:p>
    <w:p w:rsidR="00137234" w:rsidRDefault="00137234" w:rsidP="004806E1"/>
    <w:p w:rsidR="00137234" w:rsidRDefault="007972CC" w:rsidP="004806E1">
      <w:r>
        <w:t xml:space="preserve">A majority of those present indicated that in light of the information presented, they felt no need to purchase insurance.  </w:t>
      </w:r>
      <w:r w:rsidR="00137234">
        <w:t>There was discussion among the group about other measures that could be taken to prevent conflicts of interest</w:t>
      </w:r>
      <w:r>
        <w:t>.  It was agreed that the Chairman and City Attorney would develop a statement and bring it back to the December meeting.</w:t>
      </w:r>
    </w:p>
    <w:p w:rsidR="00DA3699" w:rsidRDefault="00DA3699" w:rsidP="004806E1"/>
    <w:p w:rsidR="00DA3699" w:rsidRDefault="00DA3699" w:rsidP="004806E1"/>
    <w:p w:rsidR="00DA3699" w:rsidRDefault="00DA3699" w:rsidP="00DA3699">
      <w:pPr>
        <w:tabs>
          <w:tab w:val="left" w:pos="360"/>
          <w:tab w:val="left" w:pos="5947"/>
          <w:tab w:val="right" w:pos="7200"/>
        </w:tabs>
        <w:rPr>
          <w:rFonts w:asciiTheme="minorHAnsi" w:hAnsiTheme="minorHAnsi"/>
          <w:b/>
          <w:kern w:val="0"/>
          <w:szCs w:val="22"/>
        </w:rPr>
      </w:pPr>
      <w:r w:rsidRPr="00DA3699">
        <w:rPr>
          <w:rFonts w:asciiTheme="minorHAnsi" w:hAnsiTheme="minorHAnsi"/>
          <w:b/>
          <w:kern w:val="0"/>
          <w:szCs w:val="22"/>
          <w:u w:val="single"/>
        </w:rPr>
        <w:t>UMA Overlay Fee Refund</w:t>
      </w:r>
    </w:p>
    <w:p w:rsidR="00DA3699" w:rsidRDefault="00DA3699" w:rsidP="00DA3699">
      <w:pPr>
        <w:tabs>
          <w:tab w:val="left" w:pos="360"/>
          <w:tab w:val="left" w:pos="5947"/>
          <w:tab w:val="right" w:pos="7200"/>
        </w:tabs>
        <w:rPr>
          <w:rFonts w:asciiTheme="minorHAnsi" w:hAnsiTheme="minorHAnsi"/>
          <w:b/>
          <w:kern w:val="0"/>
          <w:szCs w:val="22"/>
        </w:rPr>
      </w:pPr>
    </w:p>
    <w:p w:rsidR="000028BD" w:rsidRPr="000028BD" w:rsidRDefault="000028BD" w:rsidP="00DA3699">
      <w:pPr>
        <w:tabs>
          <w:tab w:val="left" w:pos="360"/>
          <w:tab w:val="left" w:pos="5947"/>
          <w:tab w:val="right" w:pos="7200"/>
        </w:tabs>
        <w:rPr>
          <w:rFonts w:asciiTheme="minorHAnsi" w:hAnsiTheme="minorHAnsi"/>
          <w:kern w:val="0"/>
          <w:szCs w:val="22"/>
        </w:rPr>
      </w:pPr>
      <w:r w:rsidRPr="000028BD">
        <w:rPr>
          <w:rFonts w:asciiTheme="minorHAnsi" w:hAnsiTheme="minorHAnsi"/>
          <w:kern w:val="0"/>
          <w:szCs w:val="22"/>
        </w:rPr>
        <w:t xml:space="preserve">Chairperson Farrell </w:t>
      </w:r>
      <w:r>
        <w:rPr>
          <w:rFonts w:asciiTheme="minorHAnsi" w:hAnsiTheme="minorHAnsi"/>
          <w:kern w:val="0"/>
          <w:szCs w:val="22"/>
        </w:rPr>
        <w:t>explained this is for a refund we are entitled to as a result of Graystone asking that the UMA overlay fee be reduced.</w:t>
      </w:r>
    </w:p>
    <w:p w:rsidR="000028BD" w:rsidRDefault="000028BD" w:rsidP="00DA3699">
      <w:pPr>
        <w:tabs>
          <w:tab w:val="left" w:pos="360"/>
          <w:tab w:val="left" w:pos="5947"/>
          <w:tab w:val="right" w:pos="7200"/>
        </w:tabs>
        <w:rPr>
          <w:rFonts w:asciiTheme="minorHAnsi" w:hAnsiTheme="minorHAnsi"/>
          <w:b/>
          <w:kern w:val="0"/>
          <w:szCs w:val="22"/>
        </w:rPr>
      </w:pPr>
    </w:p>
    <w:p w:rsidR="00DA3699" w:rsidRDefault="000028BD" w:rsidP="00DA3699">
      <w:pPr>
        <w:tabs>
          <w:tab w:val="left" w:pos="360"/>
          <w:tab w:val="left" w:pos="5947"/>
          <w:tab w:val="right" w:pos="7200"/>
        </w:tabs>
        <w:rPr>
          <w:rFonts w:asciiTheme="minorHAnsi" w:hAnsiTheme="minorHAnsi"/>
          <w:kern w:val="0"/>
          <w:szCs w:val="22"/>
        </w:rPr>
      </w:pPr>
      <w:r w:rsidRPr="000028BD">
        <w:rPr>
          <w:rFonts w:asciiTheme="minorHAnsi" w:hAnsiTheme="minorHAnsi"/>
          <w:kern w:val="0"/>
          <w:szCs w:val="22"/>
        </w:rPr>
        <w:t>Motion by Trustee Brewbaker to a</w:t>
      </w:r>
      <w:r w:rsidR="00DA3699" w:rsidRPr="00DA3699">
        <w:rPr>
          <w:rFonts w:asciiTheme="minorHAnsi" w:hAnsiTheme="minorHAnsi"/>
          <w:kern w:val="0"/>
          <w:szCs w:val="22"/>
        </w:rPr>
        <w:t>uthorize acceptance of refund for a portion of the UMA overlay fees paid by the System since June 2017 in the amount of $4,978.23.</w:t>
      </w:r>
    </w:p>
    <w:p w:rsidR="000028BD" w:rsidRDefault="000028BD" w:rsidP="00DA3699">
      <w:pPr>
        <w:tabs>
          <w:tab w:val="left" w:pos="360"/>
          <w:tab w:val="left" w:pos="5947"/>
          <w:tab w:val="right" w:pos="7200"/>
        </w:tabs>
        <w:rPr>
          <w:rFonts w:asciiTheme="minorHAnsi" w:hAnsiTheme="minorHAnsi"/>
          <w:kern w:val="0"/>
          <w:szCs w:val="22"/>
        </w:rPr>
      </w:pPr>
    </w:p>
    <w:p w:rsidR="000028BD" w:rsidRDefault="000028BD" w:rsidP="00DA3699">
      <w:pPr>
        <w:tabs>
          <w:tab w:val="left" w:pos="360"/>
          <w:tab w:val="left" w:pos="5947"/>
          <w:tab w:val="right" w:pos="7200"/>
        </w:tabs>
        <w:rPr>
          <w:rFonts w:asciiTheme="minorHAnsi" w:hAnsiTheme="minorHAnsi"/>
          <w:kern w:val="0"/>
          <w:szCs w:val="22"/>
        </w:rPr>
      </w:pPr>
      <w:r>
        <w:rPr>
          <w:rFonts w:asciiTheme="minorHAnsi" w:hAnsiTheme="minorHAnsi"/>
          <w:kern w:val="0"/>
          <w:szCs w:val="22"/>
        </w:rPr>
        <w:t>Motion supported by Vice Chairperson Mitchell and concurred in by unanimous vote.</w:t>
      </w:r>
    </w:p>
    <w:p w:rsidR="00AD2574" w:rsidRDefault="00AD2574" w:rsidP="00DA3699">
      <w:pPr>
        <w:tabs>
          <w:tab w:val="left" w:pos="360"/>
          <w:tab w:val="left" w:pos="5947"/>
          <w:tab w:val="right" w:pos="7200"/>
        </w:tabs>
        <w:rPr>
          <w:rFonts w:asciiTheme="minorHAnsi" w:hAnsiTheme="minorHAnsi"/>
          <w:kern w:val="0"/>
          <w:szCs w:val="22"/>
        </w:rPr>
      </w:pPr>
    </w:p>
    <w:p w:rsidR="00AD2574" w:rsidRDefault="00AD2574" w:rsidP="00DA3699">
      <w:pPr>
        <w:tabs>
          <w:tab w:val="left" w:pos="360"/>
          <w:tab w:val="left" w:pos="5947"/>
          <w:tab w:val="right" w:pos="7200"/>
        </w:tabs>
        <w:rPr>
          <w:rFonts w:asciiTheme="minorHAnsi" w:hAnsiTheme="minorHAnsi"/>
          <w:kern w:val="0"/>
          <w:szCs w:val="22"/>
        </w:rPr>
      </w:pPr>
    </w:p>
    <w:p w:rsidR="00AD2574" w:rsidRPr="00DA3699" w:rsidRDefault="00AD2574" w:rsidP="00DA3699">
      <w:pPr>
        <w:tabs>
          <w:tab w:val="left" w:pos="360"/>
          <w:tab w:val="left" w:pos="5947"/>
          <w:tab w:val="right" w:pos="7200"/>
        </w:tabs>
        <w:rPr>
          <w:rFonts w:asciiTheme="minorHAnsi" w:hAnsiTheme="minorHAnsi"/>
          <w:kern w:val="0"/>
          <w:szCs w:val="22"/>
        </w:rPr>
      </w:pPr>
      <w:r w:rsidRPr="002C68F4">
        <w:rPr>
          <w:b/>
          <w:u w:val="single"/>
        </w:rPr>
        <w:t>Morgan Stanley SEC Settlement Follow-up</w:t>
      </w:r>
    </w:p>
    <w:p w:rsidR="00DA3699" w:rsidRDefault="00DA3699" w:rsidP="004806E1"/>
    <w:p w:rsidR="00AD2574" w:rsidRDefault="00AD2574" w:rsidP="004806E1">
      <w:r>
        <w:t>Analyst Burger provided details of the settlement in question saying it related to an out of state advisor that dealt with private clients.  The settlement will have no impact on institutional clients and no impact on the System.</w:t>
      </w:r>
    </w:p>
    <w:p w:rsidR="00AD2574" w:rsidRPr="00335107" w:rsidRDefault="00AD2574" w:rsidP="004806E1"/>
    <w:p w:rsidR="00CE39AA" w:rsidRPr="009E04F5" w:rsidRDefault="00CE39AA" w:rsidP="00382E48">
      <w:pPr>
        <w:pStyle w:val="Heading1"/>
      </w:pPr>
      <w:r w:rsidRPr="009E04F5">
        <w:t>NEW BUSINESS:</w:t>
      </w:r>
    </w:p>
    <w:p w:rsidR="00CE39AA" w:rsidRDefault="00CE39AA" w:rsidP="004806E1">
      <w:pPr>
        <w:pStyle w:val="Header"/>
        <w:tabs>
          <w:tab w:val="clear" w:pos="4320"/>
          <w:tab w:val="clear" w:pos="8640"/>
        </w:tabs>
        <w:rPr>
          <w:rFonts w:ascii="Arial" w:hAnsi="Arial"/>
          <w:color w:val="0000FF"/>
        </w:rPr>
      </w:pPr>
    </w:p>
    <w:p w:rsidR="004D5A85" w:rsidRPr="009E04F5" w:rsidRDefault="004D5A85" w:rsidP="004806E1">
      <w:pPr>
        <w:pStyle w:val="Header"/>
        <w:tabs>
          <w:tab w:val="clear" w:pos="4320"/>
          <w:tab w:val="clear" w:pos="8640"/>
        </w:tabs>
        <w:rPr>
          <w:rFonts w:ascii="Arial" w:hAnsi="Arial"/>
          <w:color w:val="0000FF"/>
        </w:rPr>
      </w:pPr>
      <w:bookmarkStart w:id="3" w:name="_GoBack"/>
      <w:bookmarkEnd w:id="3"/>
    </w:p>
    <w:p w:rsidR="00382E48" w:rsidRPr="00077735" w:rsidRDefault="00BD6626" w:rsidP="004806E1">
      <w:pPr>
        <w:rPr>
          <w:b/>
          <w:u w:val="single"/>
        </w:rPr>
      </w:pPr>
      <w:r w:rsidRPr="00077735">
        <w:rPr>
          <w:b/>
          <w:u w:val="single"/>
        </w:rPr>
        <w:t>Investment Policy Amendment</w:t>
      </w:r>
    </w:p>
    <w:p w:rsidR="00BD6626" w:rsidRDefault="00BD6626" w:rsidP="004806E1">
      <w:pPr>
        <w:rPr>
          <w:b/>
          <w:u w:val="single"/>
        </w:rPr>
      </w:pPr>
    </w:p>
    <w:p w:rsidR="00BD6626" w:rsidRDefault="00F44B7E" w:rsidP="004806E1">
      <w:r>
        <w:t xml:space="preserve">Analyst Burger distributed a new copy of the edited policy to the Board showing updates and corrections made since the meeting packet was distributed.  He briefly detailed the major changes noting that most of them involved the asset allocation.  </w:t>
      </w:r>
    </w:p>
    <w:p w:rsidR="00077735" w:rsidRDefault="00077735" w:rsidP="004806E1"/>
    <w:p w:rsidR="00077735" w:rsidRPr="00973E47" w:rsidRDefault="00973E47" w:rsidP="004806E1">
      <w:pPr>
        <w:rPr>
          <w:b/>
          <w:i/>
        </w:rPr>
      </w:pPr>
      <w:r w:rsidRPr="00973E47">
        <w:rPr>
          <w:b/>
          <w:i/>
        </w:rPr>
        <w:t>Current Asset Allocation:</w:t>
      </w:r>
    </w:p>
    <w:p w:rsidR="00973E47" w:rsidRDefault="00973E47" w:rsidP="004806E1"/>
    <w:tbl>
      <w:tblPr>
        <w:tblStyle w:val="TableGrid1"/>
        <w:tblW w:w="0" w:type="auto"/>
        <w:tblInd w:w="108" w:type="dxa"/>
        <w:tblLook w:val="04A0" w:firstRow="1" w:lastRow="0" w:firstColumn="1" w:lastColumn="0" w:noHBand="0" w:noVBand="1"/>
      </w:tblPr>
      <w:tblGrid>
        <w:gridCol w:w="3439"/>
        <w:gridCol w:w="1449"/>
        <w:gridCol w:w="1445"/>
        <w:gridCol w:w="1458"/>
      </w:tblGrid>
      <w:tr w:rsidR="009A1044" w:rsidRPr="00077735" w:rsidTr="005571FE">
        <w:tc>
          <w:tcPr>
            <w:tcW w:w="3439" w:type="dxa"/>
            <w:shd w:val="clear" w:color="auto" w:fill="CCCCFF" w:themeFill="background1" w:themeFillTint="33"/>
            <w:vAlign w:val="bottom"/>
          </w:tcPr>
          <w:p w:rsidR="009A1044" w:rsidRPr="00077735" w:rsidRDefault="009A1044" w:rsidP="005571FE">
            <w:pPr>
              <w:spacing w:after="0" w:line="240" w:lineRule="auto"/>
              <w:ind w:right="-14"/>
              <w:rPr>
                <w:rFonts w:cstheme="minorHAnsi"/>
                <w:b/>
                <w:kern w:val="0"/>
                <w:sz w:val="20"/>
                <w:szCs w:val="20"/>
              </w:rPr>
            </w:pPr>
            <w:r w:rsidRPr="00077735">
              <w:rPr>
                <w:rFonts w:cstheme="minorHAnsi"/>
                <w:b/>
                <w:kern w:val="0"/>
                <w:sz w:val="20"/>
                <w:szCs w:val="20"/>
              </w:rPr>
              <w:t>Asset Class/</w:t>
            </w:r>
          </w:p>
          <w:p w:rsidR="009A1044" w:rsidRPr="00077735" w:rsidRDefault="009A1044" w:rsidP="005571FE">
            <w:pPr>
              <w:spacing w:after="0" w:line="240" w:lineRule="auto"/>
              <w:ind w:right="-20"/>
              <w:rPr>
                <w:rFonts w:cstheme="minorHAnsi"/>
                <w:b/>
                <w:kern w:val="0"/>
                <w:sz w:val="20"/>
                <w:szCs w:val="20"/>
              </w:rPr>
            </w:pPr>
            <w:r w:rsidRPr="00077735">
              <w:rPr>
                <w:rFonts w:cstheme="minorHAnsi"/>
                <w:b/>
                <w:kern w:val="0"/>
                <w:sz w:val="20"/>
                <w:szCs w:val="20"/>
              </w:rPr>
              <w:t>Investment Style</w:t>
            </w:r>
          </w:p>
        </w:tc>
        <w:tc>
          <w:tcPr>
            <w:tcW w:w="1449" w:type="dxa"/>
            <w:shd w:val="clear" w:color="auto" w:fill="CCCCFF" w:themeFill="background1" w:themeFillTint="33"/>
            <w:vAlign w:val="bottom"/>
          </w:tcPr>
          <w:p w:rsidR="009A1044" w:rsidRPr="00077735" w:rsidRDefault="009A1044" w:rsidP="005571FE">
            <w:pPr>
              <w:spacing w:after="0" w:line="240" w:lineRule="auto"/>
              <w:ind w:right="-20"/>
              <w:jc w:val="center"/>
              <w:rPr>
                <w:rFonts w:cstheme="minorHAnsi"/>
                <w:b/>
                <w:kern w:val="0"/>
                <w:sz w:val="20"/>
                <w:szCs w:val="20"/>
              </w:rPr>
            </w:pPr>
            <w:r w:rsidRPr="00077735">
              <w:rPr>
                <w:rFonts w:cstheme="minorHAnsi"/>
                <w:b/>
                <w:kern w:val="0"/>
                <w:sz w:val="20"/>
                <w:szCs w:val="20"/>
              </w:rPr>
              <w:t>Minimum</w:t>
            </w:r>
          </w:p>
        </w:tc>
        <w:tc>
          <w:tcPr>
            <w:tcW w:w="1445" w:type="dxa"/>
            <w:shd w:val="clear" w:color="auto" w:fill="CCCCFF" w:themeFill="background1" w:themeFillTint="33"/>
            <w:vAlign w:val="bottom"/>
          </w:tcPr>
          <w:p w:rsidR="009A1044" w:rsidRPr="00077735" w:rsidRDefault="009A1044" w:rsidP="005571FE">
            <w:pPr>
              <w:spacing w:after="0" w:line="240" w:lineRule="auto"/>
              <w:ind w:right="-20"/>
              <w:jc w:val="center"/>
              <w:rPr>
                <w:rFonts w:cstheme="minorHAnsi"/>
                <w:b/>
                <w:kern w:val="0"/>
                <w:sz w:val="20"/>
                <w:szCs w:val="20"/>
              </w:rPr>
            </w:pPr>
            <w:r w:rsidRPr="00077735">
              <w:rPr>
                <w:rFonts w:cstheme="minorHAnsi"/>
                <w:b/>
                <w:kern w:val="0"/>
                <w:sz w:val="20"/>
                <w:szCs w:val="20"/>
              </w:rPr>
              <w:t>Target Average</w:t>
            </w:r>
          </w:p>
        </w:tc>
        <w:tc>
          <w:tcPr>
            <w:tcW w:w="1458" w:type="dxa"/>
            <w:shd w:val="clear" w:color="auto" w:fill="CCCCFF" w:themeFill="background1" w:themeFillTint="33"/>
            <w:vAlign w:val="bottom"/>
          </w:tcPr>
          <w:p w:rsidR="009A1044" w:rsidRPr="00077735" w:rsidRDefault="009A1044" w:rsidP="005571FE">
            <w:pPr>
              <w:spacing w:after="0" w:line="240" w:lineRule="auto"/>
              <w:ind w:right="-20"/>
              <w:jc w:val="center"/>
              <w:rPr>
                <w:rFonts w:cstheme="minorHAnsi"/>
                <w:b/>
                <w:kern w:val="0"/>
                <w:sz w:val="20"/>
                <w:szCs w:val="20"/>
              </w:rPr>
            </w:pPr>
            <w:r w:rsidRPr="00077735">
              <w:rPr>
                <w:rFonts w:cstheme="minorHAnsi"/>
                <w:b/>
                <w:kern w:val="0"/>
                <w:sz w:val="20"/>
                <w:szCs w:val="20"/>
              </w:rPr>
              <w:t>Maximum</w:t>
            </w:r>
          </w:p>
        </w:tc>
      </w:tr>
      <w:tr w:rsidR="009A1044" w:rsidRPr="00077735" w:rsidTr="005571FE">
        <w:trPr>
          <w:trHeight w:hRule="exact" w:val="288"/>
        </w:trPr>
        <w:tc>
          <w:tcPr>
            <w:tcW w:w="3439" w:type="dxa"/>
            <w:vAlign w:val="center"/>
          </w:tcPr>
          <w:p w:rsidR="009A1044" w:rsidRPr="00F16A04" w:rsidRDefault="009A1044" w:rsidP="00973E47">
            <w:pPr>
              <w:spacing w:after="0" w:line="240" w:lineRule="auto"/>
              <w:ind w:right="-14"/>
              <w:rPr>
                <w:rFonts w:cstheme="minorHAnsi"/>
                <w:kern w:val="0"/>
                <w:sz w:val="18"/>
                <w:szCs w:val="18"/>
              </w:rPr>
            </w:pPr>
            <w:r w:rsidRPr="00F16A04">
              <w:rPr>
                <w:rFonts w:cstheme="minorHAnsi"/>
                <w:kern w:val="0"/>
                <w:sz w:val="18"/>
                <w:szCs w:val="18"/>
              </w:rPr>
              <w:t>Large / Mid Cap Growth Equity Manager</w:t>
            </w:r>
          </w:p>
        </w:tc>
        <w:tc>
          <w:tcPr>
            <w:tcW w:w="1449"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12%</w:t>
            </w:r>
          </w:p>
        </w:tc>
        <w:tc>
          <w:tcPr>
            <w:tcW w:w="1445"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17%</w:t>
            </w:r>
          </w:p>
        </w:tc>
        <w:tc>
          <w:tcPr>
            <w:tcW w:w="1458"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22%</w:t>
            </w:r>
          </w:p>
        </w:tc>
      </w:tr>
      <w:tr w:rsidR="009A1044" w:rsidRPr="00077735" w:rsidTr="005571FE">
        <w:trPr>
          <w:trHeight w:hRule="exact" w:val="288"/>
        </w:trPr>
        <w:tc>
          <w:tcPr>
            <w:tcW w:w="3439" w:type="dxa"/>
            <w:vAlign w:val="center"/>
          </w:tcPr>
          <w:p w:rsidR="009A1044" w:rsidRPr="00F16A04" w:rsidRDefault="009A1044" w:rsidP="00973E47">
            <w:pPr>
              <w:spacing w:after="0" w:line="240" w:lineRule="auto"/>
              <w:ind w:right="-14"/>
              <w:rPr>
                <w:rFonts w:cstheme="minorHAnsi"/>
                <w:kern w:val="0"/>
                <w:sz w:val="18"/>
                <w:szCs w:val="18"/>
              </w:rPr>
            </w:pPr>
            <w:r w:rsidRPr="00F16A04">
              <w:rPr>
                <w:rFonts w:cstheme="minorHAnsi"/>
                <w:kern w:val="0"/>
                <w:sz w:val="18"/>
                <w:szCs w:val="18"/>
              </w:rPr>
              <w:t>Large / Mid Cap Value Equity Manager</w:t>
            </w:r>
          </w:p>
        </w:tc>
        <w:tc>
          <w:tcPr>
            <w:tcW w:w="1449"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12%</w:t>
            </w:r>
          </w:p>
        </w:tc>
        <w:tc>
          <w:tcPr>
            <w:tcW w:w="1445"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17%</w:t>
            </w:r>
          </w:p>
        </w:tc>
        <w:tc>
          <w:tcPr>
            <w:tcW w:w="1458"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22%</w:t>
            </w:r>
          </w:p>
        </w:tc>
      </w:tr>
      <w:tr w:rsidR="009A1044" w:rsidRPr="00077735" w:rsidTr="005571FE">
        <w:trPr>
          <w:trHeight w:hRule="exact" w:val="288"/>
        </w:trPr>
        <w:tc>
          <w:tcPr>
            <w:tcW w:w="3439" w:type="dxa"/>
            <w:vAlign w:val="center"/>
          </w:tcPr>
          <w:p w:rsidR="009A1044" w:rsidRPr="00F16A04" w:rsidRDefault="009A1044" w:rsidP="00973E47">
            <w:pPr>
              <w:spacing w:after="0" w:line="240" w:lineRule="auto"/>
              <w:ind w:right="-14"/>
              <w:rPr>
                <w:rFonts w:cstheme="minorHAnsi"/>
                <w:kern w:val="0"/>
                <w:sz w:val="18"/>
                <w:szCs w:val="18"/>
              </w:rPr>
            </w:pPr>
            <w:r w:rsidRPr="00F16A04">
              <w:rPr>
                <w:rFonts w:cstheme="minorHAnsi"/>
                <w:kern w:val="0"/>
                <w:sz w:val="18"/>
                <w:szCs w:val="18"/>
              </w:rPr>
              <w:t>Dividend Manager</w:t>
            </w:r>
          </w:p>
        </w:tc>
        <w:tc>
          <w:tcPr>
            <w:tcW w:w="1449"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7%</w:t>
            </w:r>
          </w:p>
        </w:tc>
        <w:tc>
          <w:tcPr>
            <w:tcW w:w="1445"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10%</w:t>
            </w:r>
          </w:p>
        </w:tc>
        <w:tc>
          <w:tcPr>
            <w:tcW w:w="1458"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13%</w:t>
            </w:r>
          </w:p>
        </w:tc>
      </w:tr>
      <w:tr w:rsidR="009A1044" w:rsidRPr="00077735" w:rsidTr="005571FE">
        <w:trPr>
          <w:trHeight w:hRule="exact" w:val="288"/>
        </w:trPr>
        <w:tc>
          <w:tcPr>
            <w:tcW w:w="3439" w:type="dxa"/>
            <w:vAlign w:val="center"/>
          </w:tcPr>
          <w:p w:rsidR="009A1044" w:rsidRPr="00F16A04" w:rsidRDefault="009A1044" w:rsidP="00973E47">
            <w:pPr>
              <w:spacing w:after="0" w:line="240" w:lineRule="auto"/>
              <w:ind w:right="-14"/>
              <w:rPr>
                <w:rFonts w:cstheme="minorHAnsi"/>
                <w:kern w:val="0"/>
                <w:sz w:val="18"/>
                <w:szCs w:val="18"/>
              </w:rPr>
            </w:pPr>
            <w:r w:rsidRPr="00F16A04">
              <w:rPr>
                <w:rFonts w:cstheme="minorHAnsi"/>
                <w:kern w:val="0"/>
                <w:sz w:val="18"/>
                <w:szCs w:val="18"/>
              </w:rPr>
              <w:t>Small / Mid Cap Equity Manager</w:t>
            </w:r>
          </w:p>
        </w:tc>
        <w:tc>
          <w:tcPr>
            <w:tcW w:w="1449"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6%</w:t>
            </w:r>
          </w:p>
        </w:tc>
        <w:tc>
          <w:tcPr>
            <w:tcW w:w="1445"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8%</w:t>
            </w:r>
          </w:p>
        </w:tc>
        <w:tc>
          <w:tcPr>
            <w:tcW w:w="1458"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10%</w:t>
            </w:r>
          </w:p>
        </w:tc>
      </w:tr>
      <w:tr w:rsidR="009A1044" w:rsidRPr="00077735" w:rsidTr="005571FE">
        <w:trPr>
          <w:trHeight w:hRule="exact" w:val="288"/>
        </w:trPr>
        <w:tc>
          <w:tcPr>
            <w:tcW w:w="3439" w:type="dxa"/>
            <w:vAlign w:val="center"/>
          </w:tcPr>
          <w:p w:rsidR="009A1044" w:rsidRPr="00F16A04" w:rsidRDefault="009A1044" w:rsidP="00973E47">
            <w:pPr>
              <w:spacing w:after="0" w:line="240" w:lineRule="auto"/>
              <w:ind w:right="-14"/>
              <w:rPr>
                <w:rFonts w:cstheme="minorHAnsi"/>
                <w:kern w:val="0"/>
                <w:sz w:val="18"/>
                <w:szCs w:val="18"/>
              </w:rPr>
            </w:pPr>
            <w:r w:rsidRPr="00F16A04">
              <w:rPr>
                <w:rFonts w:cstheme="minorHAnsi"/>
                <w:kern w:val="0"/>
                <w:sz w:val="18"/>
                <w:szCs w:val="18"/>
              </w:rPr>
              <w:t>International Equity</w:t>
            </w:r>
          </w:p>
        </w:tc>
        <w:tc>
          <w:tcPr>
            <w:tcW w:w="1449"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10%</w:t>
            </w:r>
          </w:p>
        </w:tc>
        <w:tc>
          <w:tcPr>
            <w:tcW w:w="1445"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15%</w:t>
            </w:r>
          </w:p>
        </w:tc>
        <w:tc>
          <w:tcPr>
            <w:tcW w:w="1458"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20%</w:t>
            </w:r>
          </w:p>
        </w:tc>
      </w:tr>
      <w:tr w:rsidR="009A1044" w:rsidRPr="00077735" w:rsidTr="005571FE">
        <w:trPr>
          <w:trHeight w:val="368"/>
        </w:trPr>
        <w:tc>
          <w:tcPr>
            <w:tcW w:w="3439" w:type="dxa"/>
            <w:shd w:val="clear" w:color="auto" w:fill="CCCCFF" w:themeFill="background1" w:themeFillTint="33"/>
            <w:vAlign w:val="center"/>
          </w:tcPr>
          <w:p w:rsidR="009A1044" w:rsidRPr="00973E47" w:rsidRDefault="009A1044" w:rsidP="0041289F">
            <w:pPr>
              <w:spacing w:after="0" w:line="240" w:lineRule="auto"/>
              <w:ind w:right="-14"/>
              <w:rPr>
                <w:rFonts w:cstheme="minorHAnsi"/>
                <w:b/>
                <w:kern w:val="0"/>
                <w:sz w:val="20"/>
                <w:szCs w:val="20"/>
              </w:rPr>
            </w:pPr>
            <w:r w:rsidRPr="00973E47">
              <w:rPr>
                <w:rFonts w:cstheme="minorHAnsi"/>
                <w:b/>
                <w:kern w:val="0"/>
                <w:sz w:val="20"/>
                <w:szCs w:val="20"/>
              </w:rPr>
              <w:t>Total Equity</w:t>
            </w:r>
          </w:p>
        </w:tc>
        <w:tc>
          <w:tcPr>
            <w:tcW w:w="1449" w:type="dxa"/>
            <w:shd w:val="clear" w:color="auto" w:fill="CCCCFF" w:themeFill="background1" w:themeFillTint="33"/>
            <w:vAlign w:val="center"/>
          </w:tcPr>
          <w:p w:rsidR="009A1044" w:rsidRPr="00973E47" w:rsidRDefault="009A1044" w:rsidP="00973E47">
            <w:pPr>
              <w:spacing w:after="0" w:line="240" w:lineRule="auto"/>
              <w:ind w:right="-20"/>
              <w:jc w:val="center"/>
              <w:rPr>
                <w:rFonts w:cstheme="minorHAnsi"/>
                <w:b/>
                <w:kern w:val="0"/>
                <w:sz w:val="20"/>
                <w:szCs w:val="20"/>
              </w:rPr>
            </w:pPr>
            <w:r w:rsidRPr="00973E47">
              <w:rPr>
                <w:rFonts w:cstheme="minorHAnsi"/>
                <w:b/>
                <w:kern w:val="0"/>
                <w:sz w:val="20"/>
                <w:szCs w:val="20"/>
              </w:rPr>
              <w:t>40%</w:t>
            </w:r>
          </w:p>
        </w:tc>
        <w:tc>
          <w:tcPr>
            <w:tcW w:w="1445" w:type="dxa"/>
            <w:shd w:val="clear" w:color="auto" w:fill="CCCCFF" w:themeFill="background1" w:themeFillTint="33"/>
            <w:vAlign w:val="center"/>
          </w:tcPr>
          <w:p w:rsidR="009A1044" w:rsidRPr="00973E47" w:rsidRDefault="009A1044" w:rsidP="00973E47">
            <w:pPr>
              <w:spacing w:after="0" w:line="240" w:lineRule="auto"/>
              <w:ind w:right="-20"/>
              <w:jc w:val="center"/>
              <w:rPr>
                <w:rFonts w:cstheme="minorHAnsi"/>
                <w:b/>
                <w:kern w:val="0"/>
                <w:sz w:val="20"/>
                <w:szCs w:val="20"/>
              </w:rPr>
            </w:pPr>
            <w:r w:rsidRPr="00973E47">
              <w:rPr>
                <w:rFonts w:cstheme="minorHAnsi"/>
                <w:b/>
                <w:kern w:val="0"/>
                <w:sz w:val="20"/>
                <w:szCs w:val="20"/>
              </w:rPr>
              <w:t>67%</w:t>
            </w:r>
          </w:p>
        </w:tc>
        <w:tc>
          <w:tcPr>
            <w:tcW w:w="1458" w:type="dxa"/>
            <w:shd w:val="clear" w:color="auto" w:fill="CCCCFF" w:themeFill="background1" w:themeFillTint="33"/>
            <w:vAlign w:val="center"/>
          </w:tcPr>
          <w:p w:rsidR="009A1044" w:rsidRPr="00973E47" w:rsidRDefault="009A1044" w:rsidP="00973E47">
            <w:pPr>
              <w:spacing w:after="0" w:line="240" w:lineRule="auto"/>
              <w:ind w:right="-20"/>
              <w:jc w:val="center"/>
              <w:rPr>
                <w:rFonts w:cstheme="minorHAnsi"/>
                <w:b/>
                <w:kern w:val="0"/>
                <w:sz w:val="20"/>
                <w:szCs w:val="20"/>
              </w:rPr>
            </w:pPr>
            <w:r w:rsidRPr="00973E47">
              <w:rPr>
                <w:rFonts w:cstheme="minorHAnsi"/>
                <w:b/>
                <w:kern w:val="0"/>
                <w:sz w:val="20"/>
                <w:szCs w:val="20"/>
              </w:rPr>
              <w:t>70%</w:t>
            </w:r>
          </w:p>
        </w:tc>
      </w:tr>
      <w:tr w:rsidR="009A1044" w:rsidRPr="00077735" w:rsidTr="005571FE">
        <w:trPr>
          <w:trHeight w:hRule="exact" w:val="288"/>
        </w:trPr>
        <w:tc>
          <w:tcPr>
            <w:tcW w:w="3439" w:type="dxa"/>
            <w:vAlign w:val="center"/>
          </w:tcPr>
          <w:p w:rsidR="009A1044" w:rsidRPr="00F16A04" w:rsidRDefault="009A1044" w:rsidP="00973E47">
            <w:pPr>
              <w:spacing w:after="0" w:line="240" w:lineRule="auto"/>
              <w:ind w:right="-14"/>
              <w:rPr>
                <w:rFonts w:cstheme="minorHAnsi"/>
                <w:kern w:val="0"/>
                <w:sz w:val="18"/>
                <w:szCs w:val="18"/>
              </w:rPr>
            </w:pPr>
            <w:r w:rsidRPr="00F16A04">
              <w:rPr>
                <w:rFonts w:cstheme="minorHAnsi"/>
                <w:kern w:val="0"/>
                <w:sz w:val="18"/>
                <w:szCs w:val="18"/>
              </w:rPr>
              <w:t>Investment Grade Fixed Income</w:t>
            </w:r>
          </w:p>
        </w:tc>
        <w:tc>
          <w:tcPr>
            <w:tcW w:w="1449" w:type="dxa"/>
            <w:vAlign w:val="center"/>
          </w:tcPr>
          <w:p w:rsidR="009A1044" w:rsidRPr="00F16A04" w:rsidRDefault="009A1044" w:rsidP="00973E47">
            <w:pPr>
              <w:spacing w:after="0" w:line="240" w:lineRule="auto"/>
              <w:jc w:val="center"/>
              <w:rPr>
                <w:rFonts w:cstheme="minorHAnsi"/>
                <w:kern w:val="0"/>
                <w:sz w:val="18"/>
                <w:szCs w:val="18"/>
              </w:rPr>
            </w:pPr>
            <w:r w:rsidRPr="00F16A04">
              <w:rPr>
                <w:rFonts w:cstheme="minorHAnsi"/>
                <w:kern w:val="0"/>
                <w:sz w:val="18"/>
                <w:szCs w:val="18"/>
              </w:rPr>
              <w:t>15%</w:t>
            </w:r>
          </w:p>
        </w:tc>
        <w:tc>
          <w:tcPr>
            <w:tcW w:w="1445" w:type="dxa"/>
            <w:vAlign w:val="center"/>
          </w:tcPr>
          <w:p w:rsidR="009A1044" w:rsidRPr="00F16A04" w:rsidRDefault="009A1044" w:rsidP="00973E47">
            <w:pPr>
              <w:spacing w:after="0" w:line="240" w:lineRule="auto"/>
              <w:jc w:val="center"/>
              <w:rPr>
                <w:rFonts w:cstheme="minorHAnsi"/>
                <w:kern w:val="0"/>
                <w:sz w:val="18"/>
                <w:szCs w:val="18"/>
              </w:rPr>
            </w:pPr>
            <w:r w:rsidRPr="00F16A04">
              <w:rPr>
                <w:rFonts w:cstheme="minorHAnsi"/>
                <w:kern w:val="0"/>
                <w:sz w:val="18"/>
                <w:szCs w:val="18"/>
              </w:rPr>
              <w:t>20%</w:t>
            </w:r>
          </w:p>
        </w:tc>
        <w:tc>
          <w:tcPr>
            <w:tcW w:w="1458" w:type="dxa"/>
            <w:vAlign w:val="center"/>
          </w:tcPr>
          <w:p w:rsidR="009A1044" w:rsidRPr="00F16A04" w:rsidRDefault="009A1044" w:rsidP="00973E47">
            <w:pPr>
              <w:spacing w:after="0" w:line="240" w:lineRule="auto"/>
              <w:jc w:val="center"/>
              <w:rPr>
                <w:rFonts w:cstheme="minorHAnsi"/>
                <w:kern w:val="0"/>
                <w:sz w:val="18"/>
                <w:szCs w:val="18"/>
              </w:rPr>
            </w:pPr>
            <w:r w:rsidRPr="00F16A04">
              <w:rPr>
                <w:rFonts w:cstheme="minorHAnsi"/>
                <w:kern w:val="0"/>
                <w:sz w:val="18"/>
                <w:szCs w:val="18"/>
              </w:rPr>
              <w:t>40%</w:t>
            </w:r>
          </w:p>
        </w:tc>
      </w:tr>
      <w:tr w:rsidR="009A1044" w:rsidRPr="00077735" w:rsidTr="005571FE">
        <w:trPr>
          <w:trHeight w:hRule="exact" w:val="288"/>
        </w:trPr>
        <w:tc>
          <w:tcPr>
            <w:tcW w:w="3439" w:type="dxa"/>
            <w:vAlign w:val="center"/>
          </w:tcPr>
          <w:p w:rsidR="009A1044" w:rsidRPr="00F16A04" w:rsidRDefault="009A1044" w:rsidP="00973E47">
            <w:pPr>
              <w:spacing w:after="0" w:line="240" w:lineRule="auto"/>
              <w:ind w:right="-14"/>
              <w:rPr>
                <w:rFonts w:cstheme="minorHAnsi"/>
                <w:kern w:val="0"/>
                <w:sz w:val="18"/>
                <w:szCs w:val="18"/>
              </w:rPr>
            </w:pPr>
            <w:r w:rsidRPr="00F16A04">
              <w:rPr>
                <w:rFonts w:cstheme="minorHAnsi"/>
                <w:kern w:val="0"/>
                <w:sz w:val="18"/>
                <w:szCs w:val="18"/>
              </w:rPr>
              <w:t>Global Fixed Income</w:t>
            </w:r>
          </w:p>
        </w:tc>
        <w:tc>
          <w:tcPr>
            <w:tcW w:w="1449"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0%</w:t>
            </w:r>
          </w:p>
        </w:tc>
        <w:tc>
          <w:tcPr>
            <w:tcW w:w="1445"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5%</w:t>
            </w:r>
          </w:p>
        </w:tc>
        <w:tc>
          <w:tcPr>
            <w:tcW w:w="1458"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7.5%</w:t>
            </w:r>
          </w:p>
        </w:tc>
      </w:tr>
      <w:tr w:rsidR="009A1044" w:rsidRPr="00077735" w:rsidTr="005571FE">
        <w:trPr>
          <w:trHeight w:hRule="exact" w:val="288"/>
        </w:trPr>
        <w:tc>
          <w:tcPr>
            <w:tcW w:w="3439" w:type="dxa"/>
            <w:vAlign w:val="center"/>
          </w:tcPr>
          <w:p w:rsidR="009A1044" w:rsidRPr="00F16A04" w:rsidRDefault="009A1044" w:rsidP="00973E47">
            <w:pPr>
              <w:spacing w:after="0" w:line="240" w:lineRule="auto"/>
              <w:ind w:right="-14"/>
              <w:rPr>
                <w:rFonts w:cstheme="minorHAnsi"/>
                <w:kern w:val="0"/>
                <w:sz w:val="18"/>
                <w:szCs w:val="18"/>
              </w:rPr>
            </w:pPr>
            <w:r w:rsidRPr="00F16A04">
              <w:rPr>
                <w:rFonts w:cstheme="minorHAnsi"/>
                <w:kern w:val="0"/>
                <w:sz w:val="18"/>
                <w:szCs w:val="18"/>
              </w:rPr>
              <w:t>Non-Traditional Fixed Income</w:t>
            </w:r>
          </w:p>
        </w:tc>
        <w:tc>
          <w:tcPr>
            <w:tcW w:w="1449"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0%</w:t>
            </w:r>
          </w:p>
        </w:tc>
        <w:tc>
          <w:tcPr>
            <w:tcW w:w="1445"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5%</w:t>
            </w:r>
          </w:p>
        </w:tc>
        <w:tc>
          <w:tcPr>
            <w:tcW w:w="1458"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7.5%</w:t>
            </w:r>
          </w:p>
        </w:tc>
      </w:tr>
      <w:tr w:rsidR="009A1044" w:rsidRPr="00077735" w:rsidTr="005571FE">
        <w:trPr>
          <w:trHeight w:hRule="exact" w:val="288"/>
        </w:trPr>
        <w:tc>
          <w:tcPr>
            <w:tcW w:w="3439" w:type="dxa"/>
            <w:vAlign w:val="center"/>
          </w:tcPr>
          <w:p w:rsidR="009A1044" w:rsidRPr="00F16A04" w:rsidRDefault="009A1044" w:rsidP="00973E47">
            <w:pPr>
              <w:spacing w:after="0" w:line="240" w:lineRule="auto"/>
              <w:ind w:right="-14"/>
              <w:rPr>
                <w:rFonts w:cstheme="minorHAnsi"/>
                <w:kern w:val="0"/>
                <w:sz w:val="18"/>
                <w:szCs w:val="18"/>
              </w:rPr>
            </w:pPr>
            <w:r w:rsidRPr="00F16A04">
              <w:rPr>
                <w:rFonts w:cstheme="minorHAnsi"/>
                <w:kern w:val="0"/>
                <w:sz w:val="18"/>
                <w:szCs w:val="18"/>
              </w:rPr>
              <w:t>Cash and Cash Equivalents</w:t>
            </w:r>
          </w:p>
        </w:tc>
        <w:tc>
          <w:tcPr>
            <w:tcW w:w="1449"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0%</w:t>
            </w:r>
          </w:p>
        </w:tc>
        <w:tc>
          <w:tcPr>
            <w:tcW w:w="1445"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3%</w:t>
            </w:r>
          </w:p>
        </w:tc>
        <w:tc>
          <w:tcPr>
            <w:tcW w:w="1458" w:type="dxa"/>
            <w:vAlign w:val="center"/>
          </w:tcPr>
          <w:p w:rsidR="009A1044" w:rsidRPr="00F16A04" w:rsidRDefault="009A1044" w:rsidP="00973E47">
            <w:pPr>
              <w:spacing w:after="0" w:line="240" w:lineRule="auto"/>
              <w:ind w:right="-20"/>
              <w:jc w:val="center"/>
              <w:rPr>
                <w:rFonts w:cstheme="minorHAnsi"/>
                <w:kern w:val="0"/>
                <w:sz w:val="18"/>
                <w:szCs w:val="18"/>
              </w:rPr>
            </w:pPr>
            <w:r w:rsidRPr="00F16A04">
              <w:rPr>
                <w:rFonts w:cstheme="minorHAnsi"/>
                <w:kern w:val="0"/>
                <w:sz w:val="18"/>
                <w:szCs w:val="18"/>
              </w:rPr>
              <w:t>10%</w:t>
            </w:r>
          </w:p>
        </w:tc>
      </w:tr>
      <w:tr w:rsidR="009A1044" w:rsidRPr="00077735" w:rsidTr="005571FE">
        <w:trPr>
          <w:trHeight w:val="377"/>
        </w:trPr>
        <w:tc>
          <w:tcPr>
            <w:tcW w:w="3439" w:type="dxa"/>
            <w:shd w:val="clear" w:color="auto" w:fill="CCCCFF" w:themeFill="background1" w:themeFillTint="33"/>
            <w:vAlign w:val="center"/>
          </w:tcPr>
          <w:p w:rsidR="009A1044" w:rsidRPr="00077735" w:rsidRDefault="009A1044" w:rsidP="00115C92">
            <w:pPr>
              <w:spacing w:after="0" w:line="240" w:lineRule="auto"/>
              <w:ind w:right="-14"/>
              <w:rPr>
                <w:rFonts w:cstheme="minorHAnsi"/>
                <w:b/>
                <w:kern w:val="0"/>
                <w:sz w:val="20"/>
                <w:szCs w:val="20"/>
              </w:rPr>
            </w:pPr>
            <w:r w:rsidRPr="00077735">
              <w:rPr>
                <w:rFonts w:cstheme="minorHAnsi"/>
                <w:b/>
                <w:kern w:val="0"/>
                <w:sz w:val="20"/>
                <w:szCs w:val="20"/>
              </w:rPr>
              <w:t>Total Fixed Income</w:t>
            </w:r>
          </w:p>
        </w:tc>
        <w:tc>
          <w:tcPr>
            <w:tcW w:w="1449" w:type="dxa"/>
            <w:shd w:val="clear" w:color="auto" w:fill="CCCCFF" w:themeFill="background1" w:themeFillTint="33"/>
            <w:vAlign w:val="center"/>
          </w:tcPr>
          <w:p w:rsidR="009A1044" w:rsidRPr="00077735" w:rsidRDefault="009A1044" w:rsidP="00115C92">
            <w:pPr>
              <w:spacing w:after="0" w:line="240" w:lineRule="auto"/>
              <w:ind w:right="-14"/>
              <w:jc w:val="center"/>
              <w:rPr>
                <w:rFonts w:cstheme="minorHAnsi"/>
                <w:b/>
                <w:kern w:val="0"/>
                <w:sz w:val="20"/>
                <w:szCs w:val="20"/>
              </w:rPr>
            </w:pPr>
            <w:r w:rsidRPr="00077735">
              <w:rPr>
                <w:rFonts w:cstheme="minorHAnsi"/>
                <w:b/>
                <w:kern w:val="0"/>
                <w:sz w:val="20"/>
                <w:szCs w:val="20"/>
              </w:rPr>
              <w:t>25%</w:t>
            </w:r>
          </w:p>
        </w:tc>
        <w:tc>
          <w:tcPr>
            <w:tcW w:w="1445" w:type="dxa"/>
            <w:shd w:val="clear" w:color="auto" w:fill="CCCCFF" w:themeFill="background1" w:themeFillTint="33"/>
            <w:vAlign w:val="center"/>
          </w:tcPr>
          <w:p w:rsidR="009A1044" w:rsidRPr="00077735" w:rsidRDefault="009A1044" w:rsidP="00115C92">
            <w:pPr>
              <w:spacing w:after="0" w:line="240" w:lineRule="auto"/>
              <w:ind w:right="-14"/>
              <w:jc w:val="center"/>
              <w:rPr>
                <w:rFonts w:cstheme="minorHAnsi"/>
                <w:b/>
                <w:kern w:val="0"/>
                <w:sz w:val="20"/>
                <w:szCs w:val="20"/>
              </w:rPr>
            </w:pPr>
            <w:r w:rsidRPr="00077735">
              <w:rPr>
                <w:rFonts w:cstheme="minorHAnsi"/>
                <w:b/>
                <w:kern w:val="0"/>
                <w:sz w:val="20"/>
                <w:szCs w:val="20"/>
              </w:rPr>
              <w:t>33%</w:t>
            </w:r>
          </w:p>
        </w:tc>
        <w:tc>
          <w:tcPr>
            <w:tcW w:w="1458" w:type="dxa"/>
            <w:shd w:val="clear" w:color="auto" w:fill="CCCCFF" w:themeFill="background1" w:themeFillTint="33"/>
            <w:vAlign w:val="center"/>
          </w:tcPr>
          <w:p w:rsidR="009A1044" w:rsidRPr="00077735" w:rsidRDefault="009A1044" w:rsidP="00115C92">
            <w:pPr>
              <w:spacing w:after="0" w:line="240" w:lineRule="auto"/>
              <w:ind w:right="-14"/>
              <w:jc w:val="center"/>
              <w:rPr>
                <w:rFonts w:cstheme="minorHAnsi"/>
                <w:b/>
                <w:kern w:val="0"/>
                <w:sz w:val="20"/>
                <w:szCs w:val="20"/>
              </w:rPr>
            </w:pPr>
            <w:r w:rsidRPr="00077735">
              <w:rPr>
                <w:rFonts w:cstheme="minorHAnsi"/>
                <w:b/>
                <w:kern w:val="0"/>
                <w:sz w:val="20"/>
                <w:szCs w:val="20"/>
              </w:rPr>
              <w:t>65%</w:t>
            </w:r>
          </w:p>
        </w:tc>
      </w:tr>
    </w:tbl>
    <w:p w:rsidR="00115C92" w:rsidRDefault="00115C92" w:rsidP="004806E1">
      <w:pPr>
        <w:sectPr w:rsidR="00115C92" w:rsidSect="00115C92">
          <w:pgSz w:w="12240" w:h="15840"/>
          <w:pgMar w:top="1152" w:right="1440" w:bottom="1152" w:left="1440" w:header="720" w:footer="720" w:gutter="0"/>
          <w:cols w:space="720"/>
          <w:docGrid w:linePitch="360"/>
        </w:sectPr>
      </w:pPr>
    </w:p>
    <w:p w:rsidR="00077735" w:rsidRDefault="009D697E" w:rsidP="004806E1">
      <w:r w:rsidRPr="009D697E">
        <w:rPr>
          <w:b/>
          <w:i/>
        </w:rPr>
        <w:t>Proposed Asset Allocation:</w:t>
      </w:r>
      <w:r>
        <w:t xml:space="preserve">  (changes are noted in bold, blue text)</w:t>
      </w:r>
    </w:p>
    <w:p w:rsidR="00077735" w:rsidRDefault="00077735" w:rsidP="004806E1"/>
    <w:tbl>
      <w:tblPr>
        <w:tblW w:w="9511" w:type="dxa"/>
        <w:tblLook w:val="04A0" w:firstRow="1" w:lastRow="0" w:firstColumn="1" w:lastColumn="0" w:noHBand="0" w:noVBand="1"/>
      </w:tblPr>
      <w:tblGrid>
        <w:gridCol w:w="3751"/>
        <w:gridCol w:w="1440"/>
        <w:gridCol w:w="1440"/>
        <w:gridCol w:w="1440"/>
        <w:gridCol w:w="1440"/>
      </w:tblGrid>
      <w:tr w:rsidR="009D697E" w:rsidRPr="00077735" w:rsidTr="009D697E">
        <w:trPr>
          <w:trHeight w:val="187"/>
        </w:trPr>
        <w:tc>
          <w:tcPr>
            <w:tcW w:w="3751" w:type="dxa"/>
            <w:tcBorders>
              <w:top w:val="single" w:sz="8" w:space="0" w:color="000000"/>
              <w:left w:val="single" w:sz="8" w:space="0" w:color="auto"/>
              <w:bottom w:val="single" w:sz="8" w:space="0" w:color="auto"/>
              <w:right w:val="single" w:sz="8" w:space="0" w:color="000000"/>
            </w:tcBorders>
            <w:shd w:val="clear" w:color="000000" w:fill="CCCCFF"/>
            <w:vAlign w:val="center"/>
            <w:hideMark/>
          </w:tcPr>
          <w:p w:rsidR="009D697E" w:rsidRDefault="009D697E" w:rsidP="00077735">
            <w:pPr>
              <w:rPr>
                <w:rFonts w:eastAsia="Times New Roman"/>
                <w:b/>
                <w:bCs/>
                <w:color w:val="000000"/>
                <w:kern w:val="0"/>
              </w:rPr>
            </w:pPr>
            <w:r>
              <w:rPr>
                <w:rFonts w:eastAsia="Times New Roman"/>
                <w:b/>
                <w:bCs/>
                <w:color w:val="000000"/>
                <w:kern w:val="0"/>
              </w:rPr>
              <w:t>Asset Class/</w:t>
            </w:r>
          </w:p>
          <w:p w:rsidR="009D697E" w:rsidRPr="00077735" w:rsidRDefault="009D697E" w:rsidP="00077735">
            <w:pPr>
              <w:rPr>
                <w:rFonts w:eastAsia="Times New Roman"/>
                <w:b/>
                <w:bCs/>
                <w:color w:val="000000"/>
                <w:kern w:val="0"/>
              </w:rPr>
            </w:pPr>
            <w:r w:rsidRPr="00077735">
              <w:rPr>
                <w:rFonts w:eastAsia="Times New Roman"/>
                <w:b/>
                <w:bCs/>
                <w:color w:val="000000"/>
                <w:kern w:val="0"/>
              </w:rPr>
              <w:t>Investment Style</w:t>
            </w:r>
          </w:p>
        </w:tc>
        <w:tc>
          <w:tcPr>
            <w:tcW w:w="1440" w:type="dxa"/>
            <w:tcBorders>
              <w:top w:val="single" w:sz="8" w:space="0" w:color="auto"/>
              <w:left w:val="single" w:sz="8" w:space="0" w:color="auto"/>
              <w:bottom w:val="single" w:sz="8" w:space="0" w:color="000000"/>
              <w:right w:val="single" w:sz="8" w:space="0" w:color="auto"/>
            </w:tcBorders>
            <w:shd w:val="clear" w:color="000000" w:fill="CCCCFF"/>
            <w:vAlign w:val="bottom"/>
            <w:hideMark/>
          </w:tcPr>
          <w:p w:rsidR="009D697E" w:rsidRPr="00077735" w:rsidRDefault="009D697E" w:rsidP="00E60EAF">
            <w:pPr>
              <w:jc w:val="center"/>
              <w:rPr>
                <w:rFonts w:eastAsia="Times New Roman"/>
                <w:b/>
                <w:bCs/>
                <w:color w:val="000000"/>
                <w:kern w:val="0"/>
              </w:rPr>
            </w:pPr>
            <w:r w:rsidRPr="00077735">
              <w:rPr>
                <w:rFonts w:eastAsia="Times New Roman"/>
                <w:b/>
                <w:bCs/>
                <w:color w:val="000000"/>
                <w:kern w:val="0"/>
              </w:rPr>
              <w:t>Minimum</w:t>
            </w:r>
          </w:p>
        </w:tc>
        <w:tc>
          <w:tcPr>
            <w:tcW w:w="1440" w:type="dxa"/>
            <w:tcBorders>
              <w:top w:val="single" w:sz="8" w:space="0" w:color="auto"/>
              <w:left w:val="single" w:sz="8" w:space="0" w:color="auto"/>
              <w:bottom w:val="single" w:sz="8" w:space="0" w:color="000000"/>
              <w:right w:val="single" w:sz="8" w:space="0" w:color="auto"/>
            </w:tcBorders>
            <w:shd w:val="clear" w:color="000000" w:fill="CCCCFF"/>
            <w:vAlign w:val="bottom"/>
            <w:hideMark/>
          </w:tcPr>
          <w:p w:rsidR="009D697E" w:rsidRPr="00077735" w:rsidRDefault="009D697E" w:rsidP="00E60EAF">
            <w:pPr>
              <w:jc w:val="center"/>
              <w:rPr>
                <w:rFonts w:eastAsia="Times New Roman"/>
                <w:b/>
                <w:bCs/>
                <w:color w:val="000000"/>
                <w:kern w:val="0"/>
              </w:rPr>
            </w:pPr>
            <w:r w:rsidRPr="00077735">
              <w:rPr>
                <w:rFonts w:eastAsia="Times New Roman"/>
                <w:b/>
                <w:bCs/>
                <w:color w:val="000000"/>
                <w:kern w:val="0"/>
              </w:rPr>
              <w:t>Target Average</w:t>
            </w:r>
          </w:p>
        </w:tc>
        <w:tc>
          <w:tcPr>
            <w:tcW w:w="1440" w:type="dxa"/>
            <w:tcBorders>
              <w:top w:val="single" w:sz="8" w:space="0" w:color="auto"/>
              <w:left w:val="single" w:sz="8" w:space="0" w:color="auto"/>
              <w:bottom w:val="single" w:sz="8" w:space="0" w:color="000000"/>
              <w:right w:val="single" w:sz="8" w:space="0" w:color="auto"/>
            </w:tcBorders>
            <w:shd w:val="clear" w:color="000000" w:fill="CCCCFF"/>
            <w:vAlign w:val="bottom"/>
            <w:hideMark/>
          </w:tcPr>
          <w:p w:rsidR="009D697E" w:rsidRPr="00077735" w:rsidRDefault="009D697E" w:rsidP="00E60EAF">
            <w:pPr>
              <w:jc w:val="center"/>
              <w:rPr>
                <w:rFonts w:eastAsia="Times New Roman"/>
                <w:b/>
                <w:bCs/>
                <w:color w:val="000000"/>
                <w:kern w:val="0"/>
              </w:rPr>
            </w:pPr>
            <w:r w:rsidRPr="00077735">
              <w:rPr>
                <w:rFonts w:eastAsia="Times New Roman"/>
                <w:b/>
                <w:bCs/>
                <w:color w:val="000000"/>
                <w:kern w:val="0"/>
              </w:rPr>
              <w:t>Maximum</w:t>
            </w:r>
          </w:p>
        </w:tc>
        <w:tc>
          <w:tcPr>
            <w:tcW w:w="1440" w:type="dxa"/>
            <w:tcBorders>
              <w:top w:val="single" w:sz="8" w:space="0" w:color="auto"/>
              <w:left w:val="single" w:sz="8" w:space="0" w:color="auto"/>
              <w:bottom w:val="single" w:sz="8" w:space="0" w:color="000000"/>
              <w:right w:val="single" w:sz="8" w:space="0" w:color="auto"/>
            </w:tcBorders>
            <w:shd w:val="clear" w:color="000000" w:fill="CCCCFF"/>
            <w:vAlign w:val="bottom"/>
          </w:tcPr>
          <w:p w:rsidR="009D697E" w:rsidRPr="00077735" w:rsidRDefault="009D697E" w:rsidP="009D697E">
            <w:pPr>
              <w:jc w:val="center"/>
              <w:rPr>
                <w:rFonts w:eastAsia="Times New Roman"/>
                <w:b/>
                <w:bCs/>
                <w:color w:val="000000"/>
                <w:kern w:val="0"/>
              </w:rPr>
            </w:pPr>
            <w:r>
              <w:rPr>
                <w:rFonts w:eastAsia="Times New Roman"/>
                <w:b/>
                <w:bCs/>
                <w:color w:val="000000"/>
                <w:kern w:val="0"/>
              </w:rPr>
              <w:t>Difference from Current</w:t>
            </w:r>
          </w:p>
        </w:tc>
      </w:tr>
      <w:tr w:rsidR="009D697E" w:rsidRPr="00077735" w:rsidTr="009D697E">
        <w:trPr>
          <w:trHeight w:hRule="exact" w:val="315"/>
        </w:trPr>
        <w:tc>
          <w:tcPr>
            <w:tcW w:w="375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D697E" w:rsidRPr="00F16A04" w:rsidRDefault="009D697E" w:rsidP="00077735">
            <w:pPr>
              <w:rPr>
                <w:rFonts w:eastAsia="Times New Roman"/>
                <w:color w:val="000000"/>
                <w:kern w:val="0"/>
                <w:sz w:val="18"/>
                <w:szCs w:val="18"/>
              </w:rPr>
            </w:pPr>
            <w:r w:rsidRPr="00F16A04">
              <w:rPr>
                <w:rFonts w:eastAsia="Times New Roman"/>
                <w:color w:val="000000"/>
                <w:kern w:val="0"/>
                <w:sz w:val="18"/>
                <w:szCs w:val="18"/>
              </w:rPr>
              <w:t>Large Growth Equity</w:t>
            </w:r>
          </w:p>
        </w:tc>
        <w:tc>
          <w:tcPr>
            <w:tcW w:w="1440" w:type="dxa"/>
            <w:tcBorders>
              <w:top w:val="nil"/>
              <w:left w:val="nil"/>
              <w:bottom w:val="single" w:sz="8" w:space="0" w:color="auto"/>
              <w:right w:val="single" w:sz="8" w:space="0" w:color="auto"/>
            </w:tcBorders>
            <w:shd w:val="clear" w:color="auto" w:fill="auto"/>
            <w:vAlign w:val="center"/>
            <w:hideMark/>
          </w:tcPr>
          <w:p w:rsidR="009D697E" w:rsidRPr="009D697E" w:rsidRDefault="009D697E" w:rsidP="00077735">
            <w:pPr>
              <w:jc w:val="center"/>
              <w:rPr>
                <w:rFonts w:eastAsia="Times New Roman"/>
                <w:b/>
                <w:color w:val="0000FF" w:themeColor="background1"/>
                <w:kern w:val="0"/>
                <w:sz w:val="18"/>
                <w:szCs w:val="18"/>
                <w:vertAlign w:val="superscript"/>
              </w:rPr>
            </w:pPr>
            <w:r w:rsidRPr="009D697E">
              <w:rPr>
                <w:rFonts w:eastAsia="Times New Roman"/>
                <w:b/>
                <w:color w:val="0000FF" w:themeColor="background1"/>
                <w:kern w:val="0"/>
                <w:sz w:val="18"/>
                <w:szCs w:val="18"/>
              </w:rPr>
              <w:t>17.0%</w:t>
            </w:r>
          </w:p>
        </w:tc>
        <w:tc>
          <w:tcPr>
            <w:tcW w:w="1440" w:type="dxa"/>
            <w:tcBorders>
              <w:top w:val="nil"/>
              <w:left w:val="nil"/>
              <w:bottom w:val="single" w:sz="8" w:space="0" w:color="auto"/>
              <w:right w:val="single" w:sz="8" w:space="0" w:color="auto"/>
            </w:tcBorders>
            <w:shd w:val="clear" w:color="auto" w:fill="auto"/>
            <w:vAlign w:val="center"/>
            <w:hideMark/>
          </w:tcPr>
          <w:p w:rsidR="009D697E" w:rsidRPr="009D697E" w:rsidRDefault="009D697E" w:rsidP="00077735">
            <w:pPr>
              <w:jc w:val="center"/>
              <w:rPr>
                <w:rFonts w:eastAsia="Times New Roman"/>
                <w:b/>
                <w:color w:val="0000FF" w:themeColor="background1"/>
                <w:kern w:val="0"/>
                <w:sz w:val="18"/>
                <w:szCs w:val="18"/>
              </w:rPr>
            </w:pPr>
            <w:r w:rsidRPr="009D697E">
              <w:rPr>
                <w:rFonts w:eastAsia="Times New Roman"/>
                <w:b/>
                <w:color w:val="0000FF" w:themeColor="background1"/>
                <w:kern w:val="0"/>
                <w:sz w:val="18"/>
                <w:szCs w:val="18"/>
              </w:rPr>
              <w:t>21.0%</w:t>
            </w:r>
          </w:p>
        </w:tc>
        <w:tc>
          <w:tcPr>
            <w:tcW w:w="1440" w:type="dxa"/>
            <w:tcBorders>
              <w:top w:val="nil"/>
              <w:left w:val="nil"/>
              <w:bottom w:val="single" w:sz="8" w:space="0" w:color="auto"/>
              <w:right w:val="single" w:sz="8" w:space="0" w:color="auto"/>
            </w:tcBorders>
            <w:shd w:val="clear" w:color="auto" w:fill="auto"/>
            <w:vAlign w:val="center"/>
            <w:hideMark/>
          </w:tcPr>
          <w:p w:rsidR="009D697E" w:rsidRPr="009D697E" w:rsidRDefault="009D697E" w:rsidP="00077735">
            <w:pPr>
              <w:jc w:val="center"/>
              <w:rPr>
                <w:rFonts w:eastAsia="Times New Roman"/>
                <w:b/>
                <w:color w:val="0000FF" w:themeColor="background1"/>
                <w:kern w:val="0"/>
                <w:sz w:val="18"/>
                <w:szCs w:val="18"/>
              </w:rPr>
            </w:pPr>
            <w:r w:rsidRPr="009D697E">
              <w:rPr>
                <w:rFonts w:eastAsia="Times New Roman"/>
                <w:b/>
                <w:color w:val="0000FF" w:themeColor="background1"/>
                <w:kern w:val="0"/>
                <w:sz w:val="18"/>
                <w:szCs w:val="18"/>
              </w:rPr>
              <w:t>29.0%</w:t>
            </w:r>
          </w:p>
        </w:tc>
        <w:tc>
          <w:tcPr>
            <w:tcW w:w="1440" w:type="dxa"/>
            <w:tcBorders>
              <w:top w:val="nil"/>
              <w:left w:val="nil"/>
              <w:bottom w:val="single" w:sz="8" w:space="0" w:color="auto"/>
              <w:right w:val="single" w:sz="8" w:space="0" w:color="auto"/>
            </w:tcBorders>
            <w:vAlign w:val="center"/>
          </w:tcPr>
          <w:p w:rsidR="009D697E" w:rsidRPr="009D697E" w:rsidRDefault="009D697E" w:rsidP="009D697E">
            <w:pPr>
              <w:jc w:val="center"/>
              <w:rPr>
                <w:rFonts w:eastAsia="Times New Roman"/>
                <w:color w:val="0000FF" w:themeColor="background1"/>
                <w:kern w:val="0"/>
                <w:sz w:val="18"/>
                <w:szCs w:val="18"/>
              </w:rPr>
            </w:pPr>
            <w:r w:rsidRPr="009D697E">
              <w:rPr>
                <w:rFonts w:eastAsia="Times New Roman"/>
                <w:color w:val="0000FF" w:themeColor="background1"/>
                <w:kern w:val="0"/>
                <w:sz w:val="18"/>
                <w:szCs w:val="18"/>
              </w:rPr>
              <w:t>4.0%</w:t>
            </w:r>
          </w:p>
        </w:tc>
      </w:tr>
      <w:tr w:rsidR="009D697E" w:rsidRPr="00077735" w:rsidTr="009D697E">
        <w:trPr>
          <w:trHeight w:hRule="exact" w:val="315"/>
        </w:trPr>
        <w:tc>
          <w:tcPr>
            <w:tcW w:w="375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D697E" w:rsidRPr="00F16A04" w:rsidRDefault="009D697E" w:rsidP="00077735">
            <w:pPr>
              <w:rPr>
                <w:rFonts w:eastAsia="Times New Roman"/>
                <w:color w:val="000000"/>
                <w:kern w:val="0"/>
                <w:sz w:val="18"/>
                <w:szCs w:val="18"/>
              </w:rPr>
            </w:pPr>
            <w:r w:rsidRPr="00F16A04">
              <w:rPr>
                <w:rFonts w:eastAsia="Times New Roman"/>
                <w:color w:val="000000"/>
                <w:kern w:val="0"/>
                <w:sz w:val="18"/>
                <w:szCs w:val="18"/>
              </w:rPr>
              <w:t>Large Value Equity</w:t>
            </w:r>
          </w:p>
        </w:tc>
        <w:tc>
          <w:tcPr>
            <w:tcW w:w="1440" w:type="dxa"/>
            <w:tcBorders>
              <w:top w:val="nil"/>
              <w:left w:val="nil"/>
              <w:bottom w:val="single" w:sz="8" w:space="0" w:color="auto"/>
              <w:right w:val="single" w:sz="8" w:space="0" w:color="auto"/>
            </w:tcBorders>
            <w:shd w:val="clear" w:color="auto" w:fill="auto"/>
            <w:vAlign w:val="center"/>
            <w:hideMark/>
          </w:tcPr>
          <w:p w:rsidR="009D697E" w:rsidRPr="009D697E" w:rsidRDefault="009D697E" w:rsidP="00077735">
            <w:pPr>
              <w:jc w:val="center"/>
              <w:rPr>
                <w:rFonts w:eastAsia="Times New Roman"/>
                <w:b/>
                <w:color w:val="0000FF" w:themeColor="background1"/>
                <w:kern w:val="0"/>
                <w:sz w:val="18"/>
                <w:szCs w:val="18"/>
              </w:rPr>
            </w:pPr>
            <w:r w:rsidRPr="009D697E">
              <w:rPr>
                <w:rFonts w:eastAsia="Times New Roman"/>
                <w:b/>
                <w:color w:val="0000FF" w:themeColor="background1"/>
                <w:kern w:val="0"/>
                <w:sz w:val="18"/>
                <w:szCs w:val="18"/>
              </w:rPr>
              <w:t>17.0%</w:t>
            </w:r>
          </w:p>
        </w:tc>
        <w:tc>
          <w:tcPr>
            <w:tcW w:w="1440" w:type="dxa"/>
            <w:tcBorders>
              <w:top w:val="nil"/>
              <w:left w:val="nil"/>
              <w:bottom w:val="single" w:sz="8" w:space="0" w:color="auto"/>
              <w:right w:val="single" w:sz="8" w:space="0" w:color="auto"/>
            </w:tcBorders>
            <w:shd w:val="clear" w:color="auto" w:fill="auto"/>
            <w:vAlign w:val="center"/>
            <w:hideMark/>
          </w:tcPr>
          <w:p w:rsidR="009D697E" w:rsidRPr="009D697E" w:rsidRDefault="009D697E" w:rsidP="00077735">
            <w:pPr>
              <w:jc w:val="center"/>
              <w:rPr>
                <w:rFonts w:eastAsia="Times New Roman"/>
                <w:b/>
                <w:color w:val="0000FF" w:themeColor="background1"/>
                <w:kern w:val="0"/>
                <w:sz w:val="18"/>
                <w:szCs w:val="18"/>
              </w:rPr>
            </w:pPr>
            <w:r w:rsidRPr="009D697E">
              <w:rPr>
                <w:rFonts w:eastAsia="Times New Roman"/>
                <w:b/>
                <w:color w:val="0000FF" w:themeColor="background1"/>
                <w:kern w:val="0"/>
                <w:sz w:val="18"/>
                <w:szCs w:val="18"/>
              </w:rPr>
              <w:t>21.0%</w:t>
            </w:r>
          </w:p>
        </w:tc>
        <w:tc>
          <w:tcPr>
            <w:tcW w:w="1440" w:type="dxa"/>
            <w:tcBorders>
              <w:top w:val="nil"/>
              <w:left w:val="nil"/>
              <w:bottom w:val="single" w:sz="8" w:space="0" w:color="auto"/>
              <w:right w:val="single" w:sz="8" w:space="0" w:color="auto"/>
            </w:tcBorders>
            <w:shd w:val="clear" w:color="auto" w:fill="auto"/>
            <w:vAlign w:val="center"/>
            <w:hideMark/>
          </w:tcPr>
          <w:p w:rsidR="009D697E" w:rsidRPr="009D697E" w:rsidRDefault="009D697E" w:rsidP="00077735">
            <w:pPr>
              <w:jc w:val="center"/>
              <w:rPr>
                <w:rFonts w:eastAsia="Times New Roman"/>
                <w:b/>
                <w:color w:val="0000FF" w:themeColor="background1"/>
                <w:kern w:val="0"/>
                <w:sz w:val="18"/>
                <w:szCs w:val="18"/>
              </w:rPr>
            </w:pPr>
            <w:r w:rsidRPr="009D697E">
              <w:rPr>
                <w:rFonts w:eastAsia="Times New Roman"/>
                <w:b/>
                <w:color w:val="0000FF" w:themeColor="background1"/>
                <w:kern w:val="0"/>
                <w:sz w:val="18"/>
                <w:szCs w:val="18"/>
              </w:rPr>
              <w:t>29.0%</w:t>
            </w:r>
          </w:p>
        </w:tc>
        <w:tc>
          <w:tcPr>
            <w:tcW w:w="1440" w:type="dxa"/>
            <w:tcBorders>
              <w:top w:val="nil"/>
              <w:left w:val="nil"/>
              <w:bottom w:val="single" w:sz="8" w:space="0" w:color="auto"/>
              <w:right w:val="single" w:sz="8" w:space="0" w:color="auto"/>
            </w:tcBorders>
            <w:vAlign w:val="center"/>
          </w:tcPr>
          <w:p w:rsidR="009D697E" w:rsidRPr="009D697E" w:rsidRDefault="009D697E" w:rsidP="009D697E">
            <w:pPr>
              <w:jc w:val="center"/>
              <w:rPr>
                <w:rFonts w:eastAsia="Times New Roman"/>
                <w:color w:val="0000FF" w:themeColor="background1"/>
                <w:kern w:val="0"/>
                <w:sz w:val="18"/>
                <w:szCs w:val="18"/>
              </w:rPr>
            </w:pPr>
            <w:r w:rsidRPr="009D697E">
              <w:rPr>
                <w:rFonts w:eastAsia="Times New Roman"/>
                <w:color w:val="0000FF" w:themeColor="background1"/>
                <w:kern w:val="0"/>
                <w:sz w:val="18"/>
                <w:szCs w:val="18"/>
              </w:rPr>
              <w:t>4.0%</w:t>
            </w:r>
          </w:p>
        </w:tc>
      </w:tr>
      <w:tr w:rsidR="009D697E" w:rsidRPr="00077735" w:rsidTr="009D697E">
        <w:trPr>
          <w:trHeight w:hRule="exact" w:val="315"/>
        </w:trPr>
        <w:tc>
          <w:tcPr>
            <w:tcW w:w="375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D697E" w:rsidRPr="00F16A04" w:rsidRDefault="009D697E" w:rsidP="00077735">
            <w:pPr>
              <w:rPr>
                <w:rFonts w:eastAsia="Times New Roman"/>
                <w:color w:val="000000"/>
                <w:kern w:val="0"/>
                <w:sz w:val="18"/>
                <w:szCs w:val="18"/>
              </w:rPr>
            </w:pPr>
            <w:r w:rsidRPr="00F16A04">
              <w:rPr>
                <w:rFonts w:eastAsia="Times New Roman"/>
                <w:color w:val="000000"/>
                <w:kern w:val="0"/>
                <w:sz w:val="18"/>
                <w:szCs w:val="18"/>
              </w:rPr>
              <w:t>Small / Mid Cap Equity</w:t>
            </w:r>
          </w:p>
        </w:tc>
        <w:tc>
          <w:tcPr>
            <w:tcW w:w="1440" w:type="dxa"/>
            <w:tcBorders>
              <w:top w:val="nil"/>
              <w:left w:val="nil"/>
              <w:bottom w:val="single" w:sz="8" w:space="0" w:color="auto"/>
              <w:right w:val="single" w:sz="8" w:space="0" w:color="auto"/>
            </w:tcBorders>
            <w:shd w:val="clear" w:color="auto" w:fill="auto"/>
            <w:vAlign w:val="center"/>
            <w:hideMark/>
          </w:tcPr>
          <w:p w:rsidR="009D697E" w:rsidRPr="00F16A04" w:rsidRDefault="009D697E" w:rsidP="00077735">
            <w:pPr>
              <w:jc w:val="center"/>
              <w:rPr>
                <w:rFonts w:eastAsia="Times New Roman"/>
                <w:color w:val="000000"/>
                <w:kern w:val="0"/>
                <w:sz w:val="18"/>
                <w:szCs w:val="18"/>
              </w:rPr>
            </w:pPr>
            <w:r w:rsidRPr="00F16A04">
              <w:rPr>
                <w:rFonts w:eastAsia="Times New Roman"/>
                <w:color w:val="000000"/>
                <w:kern w:val="0"/>
                <w:sz w:val="18"/>
                <w:szCs w:val="18"/>
              </w:rPr>
              <w:t>6.0%</w:t>
            </w:r>
          </w:p>
        </w:tc>
        <w:tc>
          <w:tcPr>
            <w:tcW w:w="1440" w:type="dxa"/>
            <w:tcBorders>
              <w:top w:val="nil"/>
              <w:left w:val="nil"/>
              <w:bottom w:val="single" w:sz="8" w:space="0" w:color="auto"/>
              <w:right w:val="single" w:sz="8" w:space="0" w:color="auto"/>
            </w:tcBorders>
            <w:shd w:val="clear" w:color="auto" w:fill="auto"/>
            <w:vAlign w:val="center"/>
            <w:hideMark/>
          </w:tcPr>
          <w:p w:rsidR="009D697E" w:rsidRPr="00F16A04" w:rsidRDefault="009D697E" w:rsidP="00077735">
            <w:pPr>
              <w:jc w:val="center"/>
              <w:rPr>
                <w:rFonts w:eastAsia="Times New Roman"/>
                <w:color w:val="000000"/>
                <w:kern w:val="0"/>
                <w:sz w:val="18"/>
                <w:szCs w:val="18"/>
              </w:rPr>
            </w:pPr>
            <w:r w:rsidRPr="00F16A04">
              <w:rPr>
                <w:rFonts w:eastAsia="Times New Roman"/>
                <w:color w:val="000000"/>
                <w:kern w:val="0"/>
                <w:sz w:val="18"/>
                <w:szCs w:val="18"/>
              </w:rPr>
              <w:t>8.0%</w:t>
            </w:r>
          </w:p>
        </w:tc>
        <w:tc>
          <w:tcPr>
            <w:tcW w:w="1440" w:type="dxa"/>
            <w:tcBorders>
              <w:top w:val="nil"/>
              <w:left w:val="nil"/>
              <w:bottom w:val="single" w:sz="8" w:space="0" w:color="auto"/>
              <w:right w:val="single" w:sz="8" w:space="0" w:color="auto"/>
            </w:tcBorders>
            <w:shd w:val="clear" w:color="auto" w:fill="auto"/>
            <w:vAlign w:val="center"/>
            <w:hideMark/>
          </w:tcPr>
          <w:p w:rsidR="009D697E" w:rsidRPr="009D697E" w:rsidRDefault="009D697E" w:rsidP="00077735">
            <w:pPr>
              <w:jc w:val="center"/>
              <w:rPr>
                <w:rFonts w:eastAsia="Times New Roman"/>
                <w:b/>
                <w:color w:val="0000FF" w:themeColor="background1"/>
                <w:kern w:val="0"/>
                <w:sz w:val="18"/>
                <w:szCs w:val="18"/>
              </w:rPr>
            </w:pPr>
            <w:r w:rsidRPr="009D697E">
              <w:rPr>
                <w:rFonts w:eastAsia="Times New Roman"/>
                <w:b/>
                <w:color w:val="0000FF" w:themeColor="background1"/>
                <w:kern w:val="0"/>
                <w:sz w:val="18"/>
                <w:szCs w:val="18"/>
              </w:rPr>
              <w:t>12.0%</w:t>
            </w:r>
          </w:p>
        </w:tc>
        <w:tc>
          <w:tcPr>
            <w:tcW w:w="1440" w:type="dxa"/>
            <w:tcBorders>
              <w:top w:val="nil"/>
              <w:left w:val="nil"/>
              <w:bottom w:val="single" w:sz="8" w:space="0" w:color="auto"/>
              <w:right w:val="single" w:sz="8" w:space="0" w:color="auto"/>
            </w:tcBorders>
            <w:vAlign w:val="center"/>
          </w:tcPr>
          <w:p w:rsidR="009D697E" w:rsidRPr="009D697E" w:rsidRDefault="009D697E" w:rsidP="009D697E">
            <w:pPr>
              <w:jc w:val="center"/>
              <w:rPr>
                <w:rFonts w:eastAsia="Times New Roman"/>
                <w:color w:val="0000FF" w:themeColor="background1"/>
                <w:kern w:val="0"/>
                <w:sz w:val="18"/>
                <w:szCs w:val="18"/>
              </w:rPr>
            </w:pPr>
          </w:p>
        </w:tc>
      </w:tr>
      <w:tr w:rsidR="009D697E" w:rsidRPr="00077735" w:rsidTr="009D697E">
        <w:trPr>
          <w:trHeight w:hRule="exact" w:val="315"/>
        </w:trPr>
        <w:tc>
          <w:tcPr>
            <w:tcW w:w="3751" w:type="dxa"/>
            <w:tcBorders>
              <w:top w:val="single" w:sz="8" w:space="0" w:color="auto"/>
              <w:left w:val="single" w:sz="8" w:space="0" w:color="auto"/>
              <w:bottom w:val="single" w:sz="8" w:space="0" w:color="auto"/>
              <w:right w:val="single" w:sz="8" w:space="0" w:color="000000"/>
            </w:tcBorders>
            <w:shd w:val="clear" w:color="auto" w:fill="auto"/>
            <w:vAlign w:val="center"/>
            <w:hideMark/>
          </w:tcPr>
          <w:p w:rsidR="009D697E" w:rsidRPr="00F16A04" w:rsidRDefault="009D697E" w:rsidP="00077735">
            <w:pPr>
              <w:rPr>
                <w:rFonts w:eastAsia="Times New Roman"/>
                <w:color w:val="000000"/>
                <w:kern w:val="0"/>
                <w:sz w:val="18"/>
                <w:szCs w:val="18"/>
              </w:rPr>
            </w:pPr>
            <w:r w:rsidRPr="00F16A04">
              <w:rPr>
                <w:rFonts w:eastAsia="Times New Roman"/>
                <w:color w:val="000000"/>
                <w:kern w:val="0"/>
                <w:sz w:val="18"/>
                <w:szCs w:val="18"/>
              </w:rPr>
              <w:t>International Equity</w:t>
            </w:r>
          </w:p>
        </w:tc>
        <w:tc>
          <w:tcPr>
            <w:tcW w:w="1440" w:type="dxa"/>
            <w:tcBorders>
              <w:top w:val="nil"/>
              <w:left w:val="nil"/>
              <w:bottom w:val="single" w:sz="8" w:space="0" w:color="auto"/>
              <w:right w:val="single" w:sz="8" w:space="0" w:color="auto"/>
            </w:tcBorders>
            <w:shd w:val="clear" w:color="auto" w:fill="auto"/>
            <w:vAlign w:val="center"/>
            <w:hideMark/>
          </w:tcPr>
          <w:p w:rsidR="009D697E" w:rsidRPr="00F16A04" w:rsidRDefault="009D697E" w:rsidP="00077735">
            <w:pPr>
              <w:jc w:val="center"/>
              <w:rPr>
                <w:rFonts w:eastAsia="Times New Roman"/>
                <w:color w:val="000000"/>
                <w:kern w:val="0"/>
                <w:sz w:val="18"/>
                <w:szCs w:val="18"/>
                <w:vertAlign w:val="superscript"/>
              </w:rPr>
            </w:pPr>
            <w:r w:rsidRPr="00F16A04">
              <w:rPr>
                <w:rFonts w:eastAsia="Times New Roman"/>
                <w:color w:val="000000"/>
                <w:kern w:val="0"/>
                <w:sz w:val="18"/>
                <w:szCs w:val="18"/>
              </w:rPr>
              <w:t>10.0%</w:t>
            </w:r>
          </w:p>
        </w:tc>
        <w:tc>
          <w:tcPr>
            <w:tcW w:w="1440" w:type="dxa"/>
            <w:tcBorders>
              <w:top w:val="nil"/>
              <w:left w:val="nil"/>
              <w:bottom w:val="single" w:sz="8" w:space="0" w:color="auto"/>
              <w:right w:val="single" w:sz="8" w:space="0" w:color="auto"/>
            </w:tcBorders>
            <w:shd w:val="clear" w:color="auto" w:fill="auto"/>
            <w:vAlign w:val="center"/>
            <w:hideMark/>
          </w:tcPr>
          <w:p w:rsidR="009D697E" w:rsidRPr="00F16A04" w:rsidRDefault="009D697E" w:rsidP="00077735">
            <w:pPr>
              <w:jc w:val="center"/>
              <w:rPr>
                <w:rFonts w:eastAsia="Times New Roman"/>
                <w:color w:val="000000"/>
                <w:kern w:val="0"/>
                <w:sz w:val="18"/>
                <w:szCs w:val="18"/>
              </w:rPr>
            </w:pPr>
            <w:r w:rsidRPr="00F16A04">
              <w:rPr>
                <w:rFonts w:eastAsia="Times New Roman"/>
                <w:color w:val="000000"/>
                <w:kern w:val="0"/>
                <w:sz w:val="18"/>
                <w:szCs w:val="18"/>
              </w:rPr>
              <w:t>15.0%</w:t>
            </w:r>
          </w:p>
        </w:tc>
        <w:tc>
          <w:tcPr>
            <w:tcW w:w="1440" w:type="dxa"/>
            <w:tcBorders>
              <w:top w:val="nil"/>
              <w:left w:val="nil"/>
              <w:bottom w:val="single" w:sz="8" w:space="0" w:color="auto"/>
              <w:right w:val="single" w:sz="8" w:space="0" w:color="auto"/>
            </w:tcBorders>
            <w:shd w:val="clear" w:color="auto" w:fill="auto"/>
            <w:vAlign w:val="center"/>
            <w:hideMark/>
          </w:tcPr>
          <w:p w:rsidR="009D697E" w:rsidRPr="009D697E" w:rsidRDefault="009D697E" w:rsidP="00077735">
            <w:pPr>
              <w:jc w:val="center"/>
              <w:rPr>
                <w:rFonts w:eastAsia="Times New Roman"/>
                <w:b/>
                <w:color w:val="0000FF" w:themeColor="background1"/>
                <w:kern w:val="0"/>
                <w:sz w:val="18"/>
                <w:szCs w:val="18"/>
                <w:vertAlign w:val="superscript"/>
              </w:rPr>
            </w:pPr>
            <w:r w:rsidRPr="009D697E">
              <w:rPr>
                <w:rFonts w:eastAsia="Times New Roman"/>
                <w:b/>
                <w:color w:val="0000FF" w:themeColor="background1"/>
                <w:kern w:val="0"/>
                <w:sz w:val="18"/>
                <w:szCs w:val="18"/>
              </w:rPr>
              <w:t>17.5%</w:t>
            </w:r>
          </w:p>
        </w:tc>
        <w:tc>
          <w:tcPr>
            <w:tcW w:w="1440" w:type="dxa"/>
            <w:tcBorders>
              <w:top w:val="nil"/>
              <w:left w:val="nil"/>
              <w:bottom w:val="single" w:sz="8" w:space="0" w:color="auto"/>
              <w:right w:val="single" w:sz="8" w:space="0" w:color="auto"/>
            </w:tcBorders>
            <w:vAlign w:val="center"/>
          </w:tcPr>
          <w:p w:rsidR="009D697E" w:rsidRPr="009D697E" w:rsidRDefault="009D697E" w:rsidP="009D697E">
            <w:pPr>
              <w:jc w:val="center"/>
              <w:rPr>
                <w:rFonts w:eastAsia="Times New Roman"/>
                <w:color w:val="0000FF" w:themeColor="background1"/>
                <w:kern w:val="0"/>
                <w:sz w:val="18"/>
                <w:szCs w:val="18"/>
              </w:rPr>
            </w:pPr>
          </w:p>
        </w:tc>
      </w:tr>
      <w:tr w:rsidR="009D697E" w:rsidRPr="00077735" w:rsidTr="009D697E">
        <w:trPr>
          <w:trHeight w:hRule="exact" w:val="315"/>
        </w:trPr>
        <w:tc>
          <w:tcPr>
            <w:tcW w:w="3751" w:type="dxa"/>
            <w:tcBorders>
              <w:top w:val="single" w:sz="8" w:space="0" w:color="auto"/>
              <w:left w:val="single" w:sz="8" w:space="0" w:color="auto"/>
              <w:bottom w:val="single" w:sz="8" w:space="0" w:color="auto"/>
              <w:right w:val="single" w:sz="8" w:space="0" w:color="000000"/>
            </w:tcBorders>
            <w:shd w:val="clear" w:color="auto" w:fill="auto"/>
            <w:vAlign w:val="center"/>
          </w:tcPr>
          <w:p w:rsidR="009D697E" w:rsidRPr="009D697E" w:rsidRDefault="009D697E" w:rsidP="00077735">
            <w:pPr>
              <w:rPr>
                <w:rFonts w:eastAsia="Times New Roman"/>
                <w:b/>
                <w:color w:val="000000"/>
                <w:kern w:val="0"/>
                <w:sz w:val="18"/>
                <w:szCs w:val="18"/>
                <w:vertAlign w:val="superscript"/>
              </w:rPr>
            </w:pPr>
            <w:r w:rsidRPr="009D697E">
              <w:rPr>
                <w:rFonts w:eastAsia="Times New Roman"/>
                <w:b/>
                <w:color w:val="0000FF" w:themeColor="background1"/>
                <w:kern w:val="0"/>
                <w:sz w:val="18"/>
                <w:szCs w:val="18"/>
              </w:rPr>
              <w:t>Emerging Markets Equity</w:t>
            </w:r>
          </w:p>
        </w:tc>
        <w:tc>
          <w:tcPr>
            <w:tcW w:w="1440" w:type="dxa"/>
            <w:tcBorders>
              <w:top w:val="nil"/>
              <w:left w:val="nil"/>
              <w:bottom w:val="single" w:sz="8" w:space="0" w:color="auto"/>
              <w:right w:val="single" w:sz="8" w:space="0" w:color="auto"/>
            </w:tcBorders>
            <w:shd w:val="clear" w:color="auto" w:fill="auto"/>
            <w:vAlign w:val="center"/>
          </w:tcPr>
          <w:p w:rsidR="009D697E" w:rsidRPr="009D697E" w:rsidRDefault="009D697E" w:rsidP="00077735">
            <w:pPr>
              <w:jc w:val="center"/>
              <w:rPr>
                <w:rFonts w:eastAsia="Times New Roman"/>
                <w:b/>
                <w:color w:val="0000FF" w:themeColor="background1"/>
                <w:kern w:val="0"/>
                <w:sz w:val="18"/>
                <w:szCs w:val="18"/>
              </w:rPr>
            </w:pPr>
            <w:r w:rsidRPr="009D697E">
              <w:rPr>
                <w:rFonts w:eastAsia="Times New Roman"/>
                <w:b/>
                <w:color w:val="0000FF" w:themeColor="background1"/>
                <w:kern w:val="0"/>
                <w:sz w:val="18"/>
                <w:szCs w:val="18"/>
              </w:rPr>
              <w:t>0.0%</w:t>
            </w:r>
          </w:p>
        </w:tc>
        <w:tc>
          <w:tcPr>
            <w:tcW w:w="1440" w:type="dxa"/>
            <w:tcBorders>
              <w:top w:val="nil"/>
              <w:left w:val="nil"/>
              <w:bottom w:val="single" w:sz="8" w:space="0" w:color="auto"/>
              <w:right w:val="single" w:sz="8" w:space="0" w:color="auto"/>
            </w:tcBorders>
            <w:shd w:val="clear" w:color="auto" w:fill="auto"/>
            <w:vAlign w:val="center"/>
          </w:tcPr>
          <w:p w:rsidR="009D697E" w:rsidRPr="009D697E" w:rsidRDefault="009D697E" w:rsidP="00077735">
            <w:pPr>
              <w:jc w:val="center"/>
              <w:rPr>
                <w:rFonts w:eastAsia="Times New Roman"/>
                <w:b/>
                <w:color w:val="0000FF" w:themeColor="background1"/>
                <w:kern w:val="0"/>
                <w:sz w:val="18"/>
                <w:szCs w:val="18"/>
              </w:rPr>
            </w:pPr>
            <w:r w:rsidRPr="009D697E">
              <w:rPr>
                <w:rFonts w:eastAsia="Times New Roman"/>
                <w:b/>
                <w:color w:val="0000FF" w:themeColor="background1"/>
                <w:kern w:val="0"/>
                <w:sz w:val="18"/>
                <w:szCs w:val="18"/>
              </w:rPr>
              <w:t>5.0%</w:t>
            </w:r>
          </w:p>
        </w:tc>
        <w:tc>
          <w:tcPr>
            <w:tcW w:w="1440" w:type="dxa"/>
            <w:tcBorders>
              <w:top w:val="nil"/>
              <w:left w:val="nil"/>
              <w:bottom w:val="single" w:sz="8" w:space="0" w:color="auto"/>
              <w:right w:val="single" w:sz="8" w:space="0" w:color="auto"/>
            </w:tcBorders>
            <w:shd w:val="clear" w:color="auto" w:fill="auto"/>
            <w:vAlign w:val="center"/>
          </w:tcPr>
          <w:p w:rsidR="009D697E" w:rsidRPr="009D697E" w:rsidRDefault="009D697E" w:rsidP="00077735">
            <w:pPr>
              <w:jc w:val="center"/>
              <w:rPr>
                <w:rFonts w:eastAsia="Times New Roman"/>
                <w:b/>
                <w:color w:val="0000FF" w:themeColor="background1"/>
                <w:kern w:val="0"/>
                <w:sz w:val="18"/>
                <w:szCs w:val="18"/>
              </w:rPr>
            </w:pPr>
            <w:r w:rsidRPr="009D697E">
              <w:rPr>
                <w:rFonts w:eastAsia="Times New Roman"/>
                <w:b/>
                <w:color w:val="0000FF" w:themeColor="background1"/>
                <w:kern w:val="0"/>
                <w:sz w:val="18"/>
                <w:szCs w:val="18"/>
              </w:rPr>
              <w:t>7.5%</w:t>
            </w:r>
          </w:p>
        </w:tc>
        <w:tc>
          <w:tcPr>
            <w:tcW w:w="1440" w:type="dxa"/>
            <w:tcBorders>
              <w:top w:val="nil"/>
              <w:left w:val="nil"/>
              <w:bottom w:val="single" w:sz="8" w:space="0" w:color="auto"/>
              <w:right w:val="single" w:sz="8" w:space="0" w:color="auto"/>
            </w:tcBorders>
            <w:vAlign w:val="center"/>
          </w:tcPr>
          <w:p w:rsidR="009D697E" w:rsidRPr="009D697E" w:rsidRDefault="009D697E" w:rsidP="009D697E">
            <w:pPr>
              <w:jc w:val="center"/>
              <w:rPr>
                <w:rFonts w:eastAsia="Times New Roman"/>
                <w:color w:val="0000FF" w:themeColor="background1"/>
                <w:kern w:val="0"/>
                <w:sz w:val="18"/>
                <w:szCs w:val="18"/>
              </w:rPr>
            </w:pPr>
            <w:r w:rsidRPr="009D697E">
              <w:rPr>
                <w:rFonts w:eastAsia="Times New Roman"/>
                <w:color w:val="0000FF" w:themeColor="background1"/>
                <w:kern w:val="0"/>
                <w:sz w:val="18"/>
                <w:szCs w:val="18"/>
              </w:rPr>
              <w:t>5.0%</w:t>
            </w:r>
          </w:p>
        </w:tc>
      </w:tr>
      <w:tr w:rsidR="009D697E" w:rsidRPr="00077735" w:rsidTr="009D697E">
        <w:trPr>
          <w:trHeight w:val="360"/>
        </w:trPr>
        <w:tc>
          <w:tcPr>
            <w:tcW w:w="3751" w:type="dxa"/>
            <w:tcBorders>
              <w:top w:val="single" w:sz="8" w:space="0" w:color="auto"/>
              <w:left w:val="single" w:sz="8" w:space="0" w:color="auto"/>
              <w:bottom w:val="single" w:sz="8" w:space="0" w:color="auto"/>
              <w:right w:val="single" w:sz="8" w:space="0" w:color="000000"/>
            </w:tcBorders>
            <w:shd w:val="clear" w:color="000000" w:fill="CCCCFF"/>
            <w:vAlign w:val="center"/>
            <w:hideMark/>
          </w:tcPr>
          <w:p w:rsidR="009D697E" w:rsidRPr="00077735" w:rsidRDefault="009D697E" w:rsidP="00077735">
            <w:pPr>
              <w:rPr>
                <w:rFonts w:eastAsia="Times New Roman"/>
                <w:b/>
                <w:bCs/>
                <w:color w:val="000000"/>
                <w:kern w:val="0"/>
              </w:rPr>
            </w:pPr>
            <w:r w:rsidRPr="00077735">
              <w:rPr>
                <w:rFonts w:eastAsia="Times New Roman"/>
                <w:b/>
                <w:bCs/>
                <w:color w:val="000000"/>
                <w:kern w:val="0"/>
              </w:rPr>
              <w:t>Total Equity</w:t>
            </w:r>
          </w:p>
        </w:tc>
        <w:tc>
          <w:tcPr>
            <w:tcW w:w="1440" w:type="dxa"/>
            <w:tcBorders>
              <w:top w:val="nil"/>
              <w:left w:val="nil"/>
              <w:bottom w:val="single" w:sz="8" w:space="0" w:color="auto"/>
              <w:right w:val="single" w:sz="8" w:space="0" w:color="auto"/>
            </w:tcBorders>
            <w:shd w:val="clear" w:color="000000" w:fill="CCCCFF"/>
            <w:vAlign w:val="center"/>
            <w:hideMark/>
          </w:tcPr>
          <w:p w:rsidR="009D697E" w:rsidRPr="009D697E" w:rsidRDefault="009D697E" w:rsidP="00077735">
            <w:pPr>
              <w:jc w:val="center"/>
              <w:rPr>
                <w:rFonts w:eastAsia="Times New Roman"/>
                <w:b/>
                <w:bCs/>
                <w:color w:val="0000FF" w:themeColor="background1"/>
                <w:kern w:val="0"/>
                <w:vertAlign w:val="superscript"/>
              </w:rPr>
            </w:pPr>
            <w:r w:rsidRPr="009D697E">
              <w:rPr>
                <w:rFonts w:eastAsia="Times New Roman"/>
                <w:b/>
                <w:bCs/>
                <w:color w:val="0000FF" w:themeColor="background1"/>
                <w:kern w:val="0"/>
              </w:rPr>
              <w:t>50.0%</w:t>
            </w:r>
          </w:p>
        </w:tc>
        <w:tc>
          <w:tcPr>
            <w:tcW w:w="1440" w:type="dxa"/>
            <w:tcBorders>
              <w:top w:val="nil"/>
              <w:left w:val="nil"/>
              <w:bottom w:val="single" w:sz="8" w:space="0" w:color="auto"/>
              <w:right w:val="single" w:sz="8" w:space="0" w:color="auto"/>
            </w:tcBorders>
            <w:shd w:val="clear" w:color="000000" w:fill="CCCCFF"/>
            <w:vAlign w:val="center"/>
            <w:hideMark/>
          </w:tcPr>
          <w:p w:rsidR="009D697E" w:rsidRPr="009D697E" w:rsidRDefault="009D697E" w:rsidP="00077735">
            <w:pPr>
              <w:jc w:val="center"/>
              <w:rPr>
                <w:rFonts w:eastAsia="Times New Roman"/>
                <w:b/>
                <w:bCs/>
                <w:color w:val="0000FF" w:themeColor="background1"/>
                <w:kern w:val="0"/>
                <w:vertAlign w:val="superscript"/>
              </w:rPr>
            </w:pPr>
            <w:r w:rsidRPr="009D697E">
              <w:rPr>
                <w:rFonts w:eastAsia="Times New Roman"/>
                <w:b/>
                <w:bCs/>
                <w:color w:val="0000FF" w:themeColor="background1"/>
                <w:kern w:val="0"/>
              </w:rPr>
              <w:t>70.0%</w:t>
            </w:r>
          </w:p>
        </w:tc>
        <w:tc>
          <w:tcPr>
            <w:tcW w:w="1440" w:type="dxa"/>
            <w:tcBorders>
              <w:top w:val="nil"/>
              <w:left w:val="nil"/>
              <w:bottom w:val="single" w:sz="8" w:space="0" w:color="auto"/>
              <w:right w:val="single" w:sz="8" w:space="0" w:color="auto"/>
            </w:tcBorders>
            <w:shd w:val="clear" w:color="000000" w:fill="CCCCFF"/>
            <w:vAlign w:val="center"/>
            <w:hideMark/>
          </w:tcPr>
          <w:p w:rsidR="009D697E" w:rsidRPr="009D697E" w:rsidRDefault="009D697E" w:rsidP="00077735">
            <w:pPr>
              <w:jc w:val="center"/>
              <w:rPr>
                <w:rFonts w:eastAsia="Times New Roman"/>
                <w:b/>
                <w:bCs/>
                <w:color w:val="0000FF" w:themeColor="background1"/>
                <w:kern w:val="0"/>
                <w:vertAlign w:val="superscript"/>
              </w:rPr>
            </w:pPr>
            <w:r w:rsidRPr="009D697E">
              <w:rPr>
                <w:rFonts w:eastAsia="Times New Roman"/>
                <w:b/>
                <w:bCs/>
                <w:color w:val="0000FF" w:themeColor="background1"/>
                <w:kern w:val="0"/>
              </w:rPr>
              <w:t>80.0%</w:t>
            </w:r>
          </w:p>
        </w:tc>
        <w:tc>
          <w:tcPr>
            <w:tcW w:w="1440" w:type="dxa"/>
            <w:tcBorders>
              <w:top w:val="nil"/>
              <w:left w:val="nil"/>
              <w:bottom w:val="single" w:sz="8" w:space="0" w:color="auto"/>
              <w:right w:val="single" w:sz="8" w:space="0" w:color="auto"/>
            </w:tcBorders>
            <w:shd w:val="clear" w:color="000000" w:fill="CCCCFF"/>
            <w:vAlign w:val="center"/>
          </w:tcPr>
          <w:p w:rsidR="009D697E" w:rsidRPr="00077735" w:rsidRDefault="009D697E" w:rsidP="009D697E">
            <w:pPr>
              <w:jc w:val="center"/>
              <w:rPr>
                <w:rFonts w:eastAsia="Times New Roman"/>
                <w:b/>
                <w:bCs/>
                <w:color w:val="000000"/>
                <w:kern w:val="0"/>
              </w:rPr>
            </w:pPr>
          </w:p>
        </w:tc>
      </w:tr>
      <w:tr w:rsidR="009D697E" w:rsidRPr="00077735" w:rsidTr="009D697E">
        <w:trPr>
          <w:trHeight w:val="315"/>
        </w:trPr>
        <w:tc>
          <w:tcPr>
            <w:tcW w:w="375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D697E" w:rsidRPr="00F16A04" w:rsidRDefault="009D697E" w:rsidP="00077735">
            <w:pPr>
              <w:rPr>
                <w:rFonts w:eastAsia="Times New Roman"/>
                <w:color w:val="000000"/>
                <w:kern w:val="0"/>
                <w:sz w:val="18"/>
                <w:szCs w:val="18"/>
              </w:rPr>
            </w:pPr>
            <w:r w:rsidRPr="00F16A04">
              <w:rPr>
                <w:rFonts w:eastAsia="Times New Roman"/>
                <w:color w:val="000000"/>
                <w:kern w:val="0"/>
                <w:sz w:val="18"/>
                <w:szCs w:val="18"/>
              </w:rPr>
              <w:t>Fixed Income</w:t>
            </w:r>
          </w:p>
        </w:tc>
        <w:tc>
          <w:tcPr>
            <w:tcW w:w="1440" w:type="dxa"/>
            <w:tcBorders>
              <w:top w:val="nil"/>
              <w:left w:val="nil"/>
              <w:bottom w:val="single" w:sz="8" w:space="0" w:color="auto"/>
              <w:right w:val="single" w:sz="8" w:space="0" w:color="auto"/>
            </w:tcBorders>
            <w:shd w:val="clear" w:color="auto" w:fill="auto"/>
            <w:vAlign w:val="center"/>
            <w:hideMark/>
          </w:tcPr>
          <w:p w:rsidR="009D697E" w:rsidRPr="009D697E" w:rsidRDefault="009D697E" w:rsidP="00077735">
            <w:pPr>
              <w:jc w:val="center"/>
              <w:rPr>
                <w:rFonts w:eastAsia="Times New Roman"/>
                <w:b/>
                <w:color w:val="000000"/>
                <w:kern w:val="0"/>
                <w:sz w:val="18"/>
                <w:szCs w:val="18"/>
              </w:rPr>
            </w:pPr>
            <w:r w:rsidRPr="009D697E">
              <w:rPr>
                <w:rFonts w:eastAsia="Times New Roman"/>
                <w:b/>
                <w:color w:val="0000FF" w:themeColor="background1"/>
                <w:kern w:val="0"/>
                <w:sz w:val="18"/>
                <w:szCs w:val="18"/>
              </w:rPr>
              <w:t>20.0%</w:t>
            </w:r>
          </w:p>
        </w:tc>
        <w:tc>
          <w:tcPr>
            <w:tcW w:w="1440" w:type="dxa"/>
            <w:tcBorders>
              <w:top w:val="nil"/>
              <w:left w:val="nil"/>
              <w:bottom w:val="single" w:sz="8" w:space="0" w:color="auto"/>
              <w:right w:val="single" w:sz="8" w:space="0" w:color="auto"/>
            </w:tcBorders>
            <w:shd w:val="clear" w:color="auto" w:fill="auto"/>
            <w:vAlign w:val="center"/>
            <w:hideMark/>
          </w:tcPr>
          <w:p w:rsidR="009D697E" w:rsidRPr="009D697E" w:rsidRDefault="009D697E" w:rsidP="00077735">
            <w:pPr>
              <w:jc w:val="center"/>
              <w:rPr>
                <w:rFonts w:eastAsia="Times New Roman"/>
                <w:b/>
                <w:color w:val="0000FF" w:themeColor="background1"/>
                <w:kern w:val="0"/>
                <w:sz w:val="18"/>
                <w:szCs w:val="18"/>
              </w:rPr>
            </w:pPr>
            <w:r w:rsidRPr="009D697E">
              <w:rPr>
                <w:rFonts w:eastAsia="Times New Roman"/>
                <w:b/>
                <w:color w:val="0000FF" w:themeColor="background1"/>
                <w:kern w:val="0"/>
                <w:sz w:val="18"/>
                <w:szCs w:val="18"/>
              </w:rPr>
              <w:t>25.0%</w:t>
            </w:r>
          </w:p>
        </w:tc>
        <w:tc>
          <w:tcPr>
            <w:tcW w:w="1440" w:type="dxa"/>
            <w:tcBorders>
              <w:top w:val="nil"/>
              <w:left w:val="nil"/>
              <w:bottom w:val="single" w:sz="8" w:space="0" w:color="auto"/>
              <w:right w:val="single" w:sz="8" w:space="0" w:color="auto"/>
            </w:tcBorders>
            <w:shd w:val="clear" w:color="auto" w:fill="auto"/>
            <w:vAlign w:val="center"/>
            <w:hideMark/>
          </w:tcPr>
          <w:p w:rsidR="009D697E" w:rsidRPr="009D697E" w:rsidRDefault="009D697E" w:rsidP="00077735">
            <w:pPr>
              <w:jc w:val="center"/>
              <w:rPr>
                <w:rFonts w:eastAsia="Times New Roman"/>
                <w:b/>
                <w:color w:val="0000FF" w:themeColor="background1"/>
                <w:kern w:val="0"/>
                <w:sz w:val="18"/>
                <w:szCs w:val="18"/>
              </w:rPr>
            </w:pPr>
            <w:r w:rsidRPr="009D697E">
              <w:rPr>
                <w:rFonts w:eastAsia="Times New Roman"/>
                <w:b/>
                <w:color w:val="0000FF" w:themeColor="background1"/>
                <w:kern w:val="0"/>
                <w:sz w:val="18"/>
                <w:szCs w:val="18"/>
              </w:rPr>
              <w:t>40.0%</w:t>
            </w:r>
          </w:p>
        </w:tc>
        <w:tc>
          <w:tcPr>
            <w:tcW w:w="1440" w:type="dxa"/>
            <w:tcBorders>
              <w:top w:val="nil"/>
              <w:left w:val="nil"/>
              <w:bottom w:val="single" w:sz="8" w:space="0" w:color="auto"/>
              <w:right w:val="single" w:sz="8" w:space="0" w:color="auto"/>
            </w:tcBorders>
            <w:vAlign w:val="center"/>
          </w:tcPr>
          <w:p w:rsidR="009D697E" w:rsidRPr="009D697E" w:rsidRDefault="009D697E" w:rsidP="009D697E">
            <w:pPr>
              <w:jc w:val="center"/>
              <w:rPr>
                <w:rFonts w:eastAsia="Times New Roman"/>
                <w:color w:val="0000FF" w:themeColor="background1"/>
                <w:kern w:val="0"/>
                <w:sz w:val="18"/>
                <w:szCs w:val="18"/>
              </w:rPr>
            </w:pPr>
            <w:r w:rsidRPr="009D697E">
              <w:rPr>
                <w:rFonts w:eastAsia="Times New Roman"/>
                <w:color w:val="0000FF" w:themeColor="background1"/>
                <w:kern w:val="0"/>
                <w:sz w:val="18"/>
                <w:szCs w:val="18"/>
              </w:rPr>
              <w:t>-5.0%</w:t>
            </w:r>
          </w:p>
        </w:tc>
      </w:tr>
      <w:tr w:rsidR="009D697E" w:rsidRPr="00077735" w:rsidTr="009D697E">
        <w:trPr>
          <w:trHeight w:val="315"/>
        </w:trPr>
        <w:tc>
          <w:tcPr>
            <w:tcW w:w="3751" w:type="dxa"/>
            <w:tcBorders>
              <w:top w:val="single" w:sz="8" w:space="0" w:color="auto"/>
              <w:left w:val="single" w:sz="8" w:space="0" w:color="auto"/>
              <w:bottom w:val="single" w:sz="8" w:space="0" w:color="auto"/>
              <w:right w:val="single" w:sz="8" w:space="0" w:color="000000"/>
            </w:tcBorders>
            <w:shd w:val="clear" w:color="auto" w:fill="auto"/>
            <w:noWrap/>
            <w:vAlign w:val="center"/>
          </w:tcPr>
          <w:p w:rsidR="009D697E" w:rsidRPr="009D697E" w:rsidRDefault="009D697E" w:rsidP="00077735">
            <w:pPr>
              <w:rPr>
                <w:rFonts w:eastAsia="Times New Roman"/>
                <w:b/>
                <w:color w:val="0000FF" w:themeColor="background1"/>
                <w:kern w:val="0"/>
                <w:sz w:val="18"/>
                <w:szCs w:val="18"/>
                <w:vertAlign w:val="superscript"/>
              </w:rPr>
            </w:pPr>
            <w:r w:rsidRPr="009D697E">
              <w:rPr>
                <w:rFonts w:eastAsia="Times New Roman"/>
                <w:b/>
                <w:color w:val="0000FF" w:themeColor="background1"/>
                <w:kern w:val="0"/>
                <w:sz w:val="18"/>
                <w:szCs w:val="18"/>
              </w:rPr>
              <w:t>Real Assets / Master Limited Partnerships</w:t>
            </w:r>
          </w:p>
        </w:tc>
        <w:tc>
          <w:tcPr>
            <w:tcW w:w="1440" w:type="dxa"/>
            <w:tcBorders>
              <w:top w:val="nil"/>
              <w:left w:val="nil"/>
              <w:bottom w:val="single" w:sz="8" w:space="0" w:color="auto"/>
              <w:right w:val="single" w:sz="8" w:space="0" w:color="auto"/>
            </w:tcBorders>
            <w:shd w:val="clear" w:color="auto" w:fill="auto"/>
            <w:vAlign w:val="center"/>
          </w:tcPr>
          <w:p w:rsidR="009D697E" w:rsidRPr="009D697E" w:rsidRDefault="009D697E" w:rsidP="00077735">
            <w:pPr>
              <w:jc w:val="center"/>
              <w:rPr>
                <w:rFonts w:eastAsia="Times New Roman"/>
                <w:b/>
                <w:color w:val="0000FF" w:themeColor="background1"/>
                <w:kern w:val="0"/>
                <w:sz w:val="18"/>
                <w:szCs w:val="18"/>
              </w:rPr>
            </w:pPr>
            <w:r w:rsidRPr="009D697E">
              <w:rPr>
                <w:rFonts w:eastAsia="Times New Roman"/>
                <w:b/>
                <w:color w:val="0000FF" w:themeColor="background1"/>
                <w:kern w:val="0"/>
                <w:sz w:val="18"/>
                <w:szCs w:val="18"/>
              </w:rPr>
              <w:t>0.0%</w:t>
            </w:r>
          </w:p>
        </w:tc>
        <w:tc>
          <w:tcPr>
            <w:tcW w:w="1440" w:type="dxa"/>
            <w:tcBorders>
              <w:top w:val="nil"/>
              <w:left w:val="nil"/>
              <w:bottom w:val="single" w:sz="8" w:space="0" w:color="auto"/>
              <w:right w:val="single" w:sz="8" w:space="0" w:color="auto"/>
            </w:tcBorders>
            <w:shd w:val="clear" w:color="auto" w:fill="auto"/>
            <w:vAlign w:val="center"/>
          </w:tcPr>
          <w:p w:rsidR="009D697E" w:rsidRPr="009D697E" w:rsidRDefault="009D697E" w:rsidP="00077735">
            <w:pPr>
              <w:jc w:val="center"/>
              <w:rPr>
                <w:rFonts w:eastAsia="Times New Roman"/>
                <w:b/>
                <w:color w:val="0000FF" w:themeColor="background1"/>
                <w:kern w:val="0"/>
                <w:sz w:val="18"/>
                <w:szCs w:val="18"/>
              </w:rPr>
            </w:pPr>
            <w:r w:rsidRPr="009D697E">
              <w:rPr>
                <w:rFonts w:eastAsia="Times New Roman"/>
                <w:b/>
                <w:color w:val="0000FF" w:themeColor="background1"/>
                <w:kern w:val="0"/>
                <w:sz w:val="18"/>
                <w:szCs w:val="18"/>
              </w:rPr>
              <w:t>5.0%</w:t>
            </w:r>
          </w:p>
        </w:tc>
        <w:tc>
          <w:tcPr>
            <w:tcW w:w="1440" w:type="dxa"/>
            <w:tcBorders>
              <w:top w:val="nil"/>
              <w:left w:val="nil"/>
              <w:bottom w:val="single" w:sz="8" w:space="0" w:color="auto"/>
              <w:right w:val="single" w:sz="8" w:space="0" w:color="auto"/>
            </w:tcBorders>
            <w:shd w:val="clear" w:color="auto" w:fill="auto"/>
            <w:vAlign w:val="center"/>
          </w:tcPr>
          <w:p w:rsidR="009D697E" w:rsidRPr="009D697E" w:rsidRDefault="009D697E" w:rsidP="00077735">
            <w:pPr>
              <w:jc w:val="center"/>
              <w:rPr>
                <w:rFonts w:eastAsia="Times New Roman"/>
                <w:b/>
                <w:color w:val="0000FF" w:themeColor="background1"/>
                <w:kern w:val="0"/>
                <w:sz w:val="18"/>
                <w:szCs w:val="18"/>
              </w:rPr>
            </w:pPr>
            <w:r w:rsidRPr="009D697E">
              <w:rPr>
                <w:rFonts w:eastAsia="Times New Roman"/>
                <w:b/>
                <w:color w:val="0000FF" w:themeColor="background1"/>
                <w:kern w:val="0"/>
                <w:sz w:val="18"/>
                <w:szCs w:val="18"/>
              </w:rPr>
              <w:t>10.0%</w:t>
            </w:r>
          </w:p>
        </w:tc>
        <w:tc>
          <w:tcPr>
            <w:tcW w:w="1440" w:type="dxa"/>
            <w:tcBorders>
              <w:top w:val="nil"/>
              <w:left w:val="nil"/>
              <w:bottom w:val="single" w:sz="8" w:space="0" w:color="auto"/>
              <w:right w:val="single" w:sz="8" w:space="0" w:color="auto"/>
            </w:tcBorders>
            <w:vAlign w:val="center"/>
          </w:tcPr>
          <w:p w:rsidR="009D697E" w:rsidRPr="009D697E" w:rsidRDefault="009D697E" w:rsidP="009D697E">
            <w:pPr>
              <w:jc w:val="center"/>
              <w:rPr>
                <w:rFonts w:eastAsia="Times New Roman"/>
                <w:color w:val="0000FF" w:themeColor="background1"/>
                <w:kern w:val="0"/>
                <w:sz w:val="18"/>
                <w:szCs w:val="18"/>
              </w:rPr>
            </w:pPr>
            <w:r w:rsidRPr="009D697E">
              <w:rPr>
                <w:rFonts w:eastAsia="Times New Roman"/>
                <w:color w:val="0000FF" w:themeColor="background1"/>
                <w:kern w:val="0"/>
                <w:sz w:val="18"/>
                <w:szCs w:val="18"/>
              </w:rPr>
              <w:t>5.0%</w:t>
            </w:r>
          </w:p>
        </w:tc>
      </w:tr>
      <w:tr w:rsidR="009D697E" w:rsidRPr="00077735" w:rsidTr="009D697E">
        <w:trPr>
          <w:trHeight w:val="315"/>
        </w:trPr>
        <w:tc>
          <w:tcPr>
            <w:tcW w:w="3751"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D697E" w:rsidRPr="00F16A04" w:rsidRDefault="009D697E" w:rsidP="00077735">
            <w:pPr>
              <w:rPr>
                <w:rFonts w:eastAsia="Times New Roman"/>
                <w:color w:val="000000"/>
                <w:kern w:val="0"/>
                <w:sz w:val="18"/>
                <w:szCs w:val="18"/>
              </w:rPr>
            </w:pPr>
            <w:r w:rsidRPr="00F16A04">
              <w:rPr>
                <w:rFonts w:eastAsia="Times New Roman"/>
                <w:color w:val="000000"/>
                <w:kern w:val="0"/>
                <w:sz w:val="18"/>
                <w:szCs w:val="18"/>
              </w:rPr>
              <w:t>Cash and Cash Equivalents</w:t>
            </w:r>
          </w:p>
        </w:tc>
        <w:tc>
          <w:tcPr>
            <w:tcW w:w="1440" w:type="dxa"/>
            <w:tcBorders>
              <w:top w:val="nil"/>
              <w:left w:val="nil"/>
              <w:bottom w:val="single" w:sz="8" w:space="0" w:color="auto"/>
              <w:right w:val="single" w:sz="8" w:space="0" w:color="auto"/>
            </w:tcBorders>
            <w:shd w:val="clear" w:color="auto" w:fill="auto"/>
            <w:vAlign w:val="center"/>
            <w:hideMark/>
          </w:tcPr>
          <w:p w:rsidR="009D697E" w:rsidRPr="00F16A04" w:rsidRDefault="009D697E" w:rsidP="00077735">
            <w:pPr>
              <w:jc w:val="center"/>
              <w:rPr>
                <w:rFonts w:eastAsia="Times New Roman"/>
                <w:color w:val="000000"/>
                <w:kern w:val="0"/>
                <w:sz w:val="18"/>
                <w:szCs w:val="18"/>
              </w:rPr>
            </w:pPr>
            <w:r w:rsidRPr="00F16A04">
              <w:rPr>
                <w:rFonts w:eastAsia="Times New Roman"/>
                <w:color w:val="000000"/>
                <w:kern w:val="0"/>
                <w:sz w:val="18"/>
                <w:szCs w:val="18"/>
              </w:rPr>
              <w:t>0.0%</w:t>
            </w:r>
          </w:p>
        </w:tc>
        <w:tc>
          <w:tcPr>
            <w:tcW w:w="1440" w:type="dxa"/>
            <w:tcBorders>
              <w:top w:val="nil"/>
              <w:left w:val="nil"/>
              <w:bottom w:val="single" w:sz="8" w:space="0" w:color="auto"/>
              <w:right w:val="single" w:sz="8" w:space="0" w:color="auto"/>
            </w:tcBorders>
            <w:shd w:val="clear" w:color="auto" w:fill="auto"/>
            <w:vAlign w:val="center"/>
            <w:hideMark/>
          </w:tcPr>
          <w:p w:rsidR="009D697E" w:rsidRPr="00F16A04" w:rsidRDefault="009D697E" w:rsidP="00077735">
            <w:pPr>
              <w:jc w:val="center"/>
              <w:rPr>
                <w:rFonts w:eastAsia="Times New Roman"/>
                <w:color w:val="000000"/>
                <w:kern w:val="0"/>
                <w:sz w:val="18"/>
                <w:szCs w:val="18"/>
                <w:vertAlign w:val="superscript"/>
              </w:rPr>
            </w:pPr>
            <w:r w:rsidRPr="00F16A04">
              <w:rPr>
                <w:rFonts w:eastAsia="Times New Roman"/>
                <w:color w:val="000000"/>
                <w:kern w:val="0"/>
                <w:sz w:val="18"/>
                <w:szCs w:val="18"/>
              </w:rPr>
              <w:t>0.0%</w:t>
            </w:r>
          </w:p>
        </w:tc>
        <w:tc>
          <w:tcPr>
            <w:tcW w:w="1440" w:type="dxa"/>
            <w:tcBorders>
              <w:top w:val="nil"/>
              <w:left w:val="nil"/>
              <w:bottom w:val="single" w:sz="8" w:space="0" w:color="auto"/>
              <w:right w:val="single" w:sz="8" w:space="0" w:color="auto"/>
            </w:tcBorders>
            <w:shd w:val="clear" w:color="auto" w:fill="auto"/>
            <w:vAlign w:val="center"/>
            <w:hideMark/>
          </w:tcPr>
          <w:p w:rsidR="009D697E" w:rsidRPr="00F16A04" w:rsidRDefault="009D697E" w:rsidP="00077735">
            <w:pPr>
              <w:jc w:val="center"/>
              <w:rPr>
                <w:rFonts w:eastAsia="Times New Roman"/>
                <w:color w:val="000000"/>
                <w:kern w:val="0"/>
                <w:sz w:val="18"/>
                <w:szCs w:val="18"/>
              </w:rPr>
            </w:pPr>
            <w:r w:rsidRPr="00F16A04">
              <w:rPr>
                <w:rFonts w:eastAsia="Times New Roman"/>
                <w:color w:val="000000"/>
                <w:kern w:val="0"/>
                <w:sz w:val="18"/>
                <w:szCs w:val="18"/>
              </w:rPr>
              <w:t>10.0%</w:t>
            </w:r>
          </w:p>
        </w:tc>
        <w:tc>
          <w:tcPr>
            <w:tcW w:w="1440" w:type="dxa"/>
            <w:tcBorders>
              <w:top w:val="nil"/>
              <w:left w:val="nil"/>
              <w:bottom w:val="single" w:sz="8" w:space="0" w:color="auto"/>
              <w:right w:val="single" w:sz="8" w:space="0" w:color="auto"/>
            </w:tcBorders>
            <w:vAlign w:val="center"/>
          </w:tcPr>
          <w:p w:rsidR="009D697E" w:rsidRPr="009D697E" w:rsidRDefault="009D697E" w:rsidP="009D697E">
            <w:pPr>
              <w:jc w:val="center"/>
              <w:rPr>
                <w:rFonts w:eastAsia="Times New Roman"/>
                <w:color w:val="0000FF" w:themeColor="background1"/>
                <w:kern w:val="0"/>
                <w:sz w:val="18"/>
                <w:szCs w:val="18"/>
              </w:rPr>
            </w:pPr>
            <w:r w:rsidRPr="009D697E">
              <w:rPr>
                <w:rFonts w:eastAsia="Times New Roman"/>
                <w:color w:val="0000FF" w:themeColor="background1"/>
                <w:kern w:val="0"/>
                <w:sz w:val="18"/>
                <w:szCs w:val="18"/>
              </w:rPr>
              <w:t>-3.0%</w:t>
            </w:r>
          </w:p>
        </w:tc>
      </w:tr>
      <w:tr w:rsidR="009D697E" w:rsidRPr="00077735" w:rsidTr="009D697E">
        <w:trPr>
          <w:trHeight w:val="360"/>
        </w:trPr>
        <w:tc>
          <w:tcPr>
            <w:tcW w:w="3751" w:type="dxa"/>
            <w:tcBorders>
              <w:top w:val="single" w:sz="8" w:space="0" w:color="auto"/>
              <w:left w:val="single" w:sz="8" w:space="0" w:color="auto"/>
              <w:bottom w:val="single" w:sz="8" w:space="0" w:color="auto"/>
              <w:right w:val="single" w:sz="8" w:space="0" w:color="000000"/>
            </w:tcBorders>
            <w:shd w:val="clear" w:color="000000" w:fill="CCCCFF"/>
            <w:vAlign w:val="center"/>
            <w:hideMark/>
          </w:tcPr>
          <w:p w:rsidR="009D697E" w:rsidRPr="00077735" w:rsidRDefault="009D697E" w:rsidP="00077735">
            <w:pPr>
              <w:rPr>
                <w:rFonts w:eastAsia="Times New Roman"/>
                <w:b/>
                <w:bCs/>
                <w:color w:val="000000"/>
                <w:kern w:val="0"/>
              </w:rPr>
            </w:pPr>
            <w:r w:rsidRPr="00077735">
              <w:rPr>
                <w:rFonts w:eastAsia="Times New Roman"/>
                <w:b/>
                <w:bCs/>
                <w:color w:val="000000"/>
                <w:kern w:val="0"/>
              </w:rPr>
              <w:t>Total Fixed Income</w:t>
            </w:r>
          </w:p>
        </w:tc>
        <w:tc>
          <w:tcPr>
            <w:tcW w:w="1440" w:type="dxa"/>
            <w:tcBorders>
              <w:top w:val="nil"/>
              <w:left w:val="nil"/>
              <w:bottom w:val="single" w:sz="8" w:space="0" w:color="auto"/>
              <w:right w:val="single" w:sz="8" w:space="0" w:color="auto"/>
            </w:tcBorders>
            <w:shd w:val="clear" w:color="000000" w:fill="CCCCFF"/>
            <w:vAlign w:val="center"/>
            <w:hideMark/>
          </w:tcPr>
          <w:p w:rsidR="009D697E" w:rsidRPr="009D697E" w:rsidRDefault="009D697E" w:rsidP="00077735">
            <w:pPr>
              <w:jc w:val="center"/>
              <w:rPr>
                <w:rFonts w:eastAsia="Times New Roman"/>
                <w:b/>
                <w:bCs/>
                <w:color w:val="0000FF" w:themeColor="background1"/>
                <w:kern w:val="0"/>
                <w:vertAlign w:val="superscript"/>
              </w:rPr>
            </w:pPr>
            <w:r w:rsidRPr="009D697E">
              <w:rPr>
                <w:rFonts w:eastAsia="Times New Roman"/>
                <w:b/>
                <w:bCs/>
                <w:color w:val="0000FF" w:themeColor="background1"/>
                <w:kern w:val="0"/>
              </w:rPr>
              <w:t>20.0%</w:t>
            </w:r>
          </w:p>
        </w:tc>
        <w:tc>
          <w:tcPr>
            <w:tcW w:w="1440" w:type="dxa"/>
            <w:tcBorders>
              <w:top w:val="nil"/>
              <w:left w:val="nil"/>
              <w:bottom w:val="single" w:sz="8" w:space="0" w:color="auto"/>
              <w:right w:val="single" w:sz="8" w:space="0" w:color="auto"/>
            </w:tcBorders>
            <w:shd w:val="clear" w:color="000000" w:fill="CCCCFF"/>
            <w:vAlign w:val="center"/>
            <w:hideMark/>
          </w:tcPr>
          <w:p w:rsidR="009D697E" w:rsidRPr="009D697E" w:rsidRDefault="009D697E" w:rsidP="00077735">
            <w:pPr>
              <w:jc w:val="center"/>
              <w:rPr>
                <w:rFonts w:eastAsia="Times New Roman"/>
                <w:b/>
                <w:bCs/>
                <w:color w:val="0000FF" w:themeColor="background1"/>
                <w:kern w:val="0"/>
                <w:vertAlign w:val="superscript"/>
              </w:rPr>
            </w:pPr>
            <w:r w:rsidRPr="009D697E">
              <w:rPr>
                <w:rFonts w:eastAsia="Times New Roman"/>
                <w:b/>
                <w:bCs/>
                <w:color w:val="0000FF" w:themeColor="background1"/>
                <w:kern w:val="0"/>
              </w:rPr>
              <w:t>25.0%</w:t>
            </w:r>
          </w:p>
        </w:tc>
        <w:tc>
          <w:tcPr>
            <w:tcW w:w="1440" w:type="dxa"/>
            <w:tcBorders>
              <w:top w:val="nil"/>
              <w:left w:val="nil"/>
              <w:bottom w:val="single" w:sz="8" w:space="0" w:color="auto"/>
              <w:right w:val="single" w:sz="8" w:space="0" w:color="auto"/>
            </w:tcBorders>
            <w:shd w:val="clear" w:color="000000" w:fill="CCCCFF"/>
            <w:vAlign w:val="center"/>
            <w:hideMark/>
          </w:tcPr>
          <w:p w:rsidR="009D697E" w:rsidRPr="009D697E" w:rsidRDefault="009D697E" w:rsidP="00077735">
            <w:pPr>
              <w:jc w:val="center"/>
              <w:rPr>
                <w:rFonts w:eastAsia="Times New Roman"/>
                <w:b/>
                <w:bCs/>
                <w:color w:val="0000FF" w:themeColor="background1"/>
                <w:kern w:val="0"/>
                <w:vertAlign w:val="superscript"/>
              </w:rPr>
            </w:pPr>
            <w:r w:rsidRPr="009D697E">
              <w:rPr>
                <w:rFonts w:eastAsia="Times New Roman"/>
                <w:b/>
                <w:bCs/>
                <w:color w:val="0000FF" w:themeColor="background1"/>
                <w:kern w:val="0"/>
              </w:rPr>
              <w:t>40.0%</w:t>
            </w:r>
          </w:p>
        </w:tc>
        <w:tc>
          <w:tcPr>
            <w:tcW w:w="1440" w:type="dxa"/>
            <w:tcBorders>
              <w:top w:val="nil"/>
              <w:left w:val="nil"/>
              <w:bottom w:val="single" w:sz="8" w:space="0" w:color="auto"/>
              <w:right w:val="single" w:sz="8" w:space="0" w:color="auto"/>
            </w:tcBorders>
            <w:shd w:val="clear" w:color="000000" w:fill="CCCCFF"/>
            <w:vAlign w:val="center"/>
          </w:tcPr>
          <w:p w:rsidR="009D697E" w:rsidRPr="00077735" w:rsidRDefault="009D697E" w:rsidP="009D697E">
            <w:pPr>
              <w:jc w:val="center"/>
              <w:rPr>
                <w:rFonts w:eastAsia="Times New Roman"/>
                <w:b/>
                <w:bCs/>
                <w:color w:val="000000"/>
                <w:kern w:val="0"/>
              </w:rPr>
            </w:pPr>
          </w:p>
        </w:tc>
      </w:tr>
    </w:tbl>
    <w:p w:rsidR="00077735" w:rsidRDefault="00077735" w:rsidP="004806E1"/>
    <w:p w:rsidR="009A1044" w:rsidRDefault="009D697E" w:rsidP="004806E1">
      <w:r w:rsidRPr="00E312AF">
        <w:t xml:space="preserve">Other proposed changes </w:t>
      </w:r>
      <w:r w:rsidR="009A1044">
        <w:t>are as follows:</w:t>
      </w:r>
    </w:p>
    <w:p w:rsidR="009A1044" w:rsidRDefault="009A1044" w:rsidP="004806E1"/>
    <w:p w:rsidR="009A1044" w:rsidRDefault="009A1044" w:rsidP="004806E1">
      <w:pPr>
        <w:rPr>
          <w:b/>
        </w:rPr>
      </w:pPr>
      <w:r w:rsidRPr="009A1044">
        <w:rPr>
          <w:b/>
        </w:rPr>
        <w:t>IX.  Investment Guidelines</w:t>
      </w:r>
    </w:p>
    <w:p w:rsidR="009A1044" w:rsidRPr="009A1044" w:rsidRDefault="009A1044" w:rsidP="004806E1">
      <w:pPr>
        <w:rPr>
          <w:b/>
        </w:rPr>
      </w:pPr>
    </w:p>
    <w:p w:rsidR="009A1044" w:rsidRPr="009A1044" w:rsidRDefault="009A1044" w:rsidP="009A1044">
      <w:pPr>
        <w:ind w:left="720" w:hanging="360"/>
        <w:rPr>
          <w:b/>
        </w:rPr>
      </w:pPr>
      <w:r w:rsidRPr="009A1044">
        <w:rPr>
          <w:b/>
        </w:rPr>
        <w:t>C.</w:t>
      </w:r>
      <w:r w:rsidRPr="009A1044">
        <w:rPr>
          <w:b/>
        </w:rPr>
        <w:tab/>
        <w:t>Diversification Requirements</w:t>
      </w:r>
    </w:p>
    <w:p w:rsidR="009A1044" w:rsidRPr="009A1044" w:rsidRDefault="009A1044" w:rsidP="009A1044">
      <w:pPr>
        <w:keepNext/>
        <w:keepLines/>
        <w:widowControl w:val="0"/>
        <w:spacing w:before="180"/>
        <w:ind w:left="720"/>
        <w:outlineLvl w:val="2"/>
        <w:rPr>
          <w:rFonts w:cstheme="majorBidi"/>
          <w:b/>
          <w:bCs/>
          <w:kern w:val="0"/>
        </w:rPr>
      </w:pPr>
      <w:r>
        <w:tab/>
      </w:r>
      <w:bookmarkStart w:id="4" w:name="_Toc405547523"/>
      <w:bookmarkStart w:id="5" w:name="_Toc406075036"/>
      <w:bookmarkStart w:id="6" w:name="_Toc406075088"/>
      <w:bookmarkStart w:id="7" w:name="_Toc407095512"/>
      <w:r w:rsidRPr="009A1044">
        <w:rPr>
          <w:rFonts w:cstheme="majorBidi"/>
          <w:b/>
          <w:bCs/>
          <w:kern w:val="0"/>
        </w:rPr>
        <w:t>Domestic Large/Mid Capitalization Equity Portfolio(s)</w:t>
      </w:r>
      <w:bookmarkEnd w:id="4"/>
      <w:bookmarkEnd w:id="5"/>
      <w:bookmarkEnd w:id="6"/>
      <w:bookmarkEnd w:id="7"/>
    </w:p>
    <w:p w:rsidR="009A1044" w:rsidRPr="009A1044" w:rsidRDefault="009A1044" w:rsidP="009A1044">
      <w:pPr>
        <w:widowControl w:val="0"/>
        <w:tabs>
          <w:tab w:val="left" w:pos="720"/>
        </w:tabs>
        <w:spacing w:before="180"/>
        <w:ind w:left="360" w:right="-20" w:hanging="337"/>
        <w:rPr>
          <w:kern w:val="0"/>
        </w:rPr>
      </w:pPr>
      <w:r w:rsidRPr="009A1044">
        <w:rPr>
          <w:kern w:val="0"/>
        </w:rPr>
        <w:t>•</w:t>
      </w:r>
      <w:r w:rsidRPr="009A1044">
        <w:rPr>
          <w:kern w:val="0"/>
        </w:rPr>
        <w:tab/>
        <w:t xml:space="preserve">Holdings of any single issue in each investment manager's portfolio shall not exceed more than </w:t>
      </w:r>
      <w:r>
        <w:rPr>
          <w:strike/>
          <w:kern w:val="0"/>
        </w:rPr>
        <w:t xml:space="preserve">5 </w:t>
      </w:r>
      <w:r w:rsidRPr="009A1044">
        <w:rPr>
          <w:b/>
          <w:color w:val="0000FF" w:themeColor="background1"/>
          <w:kern w:val="0"/>
        </w:rPr>
        <w:t>10</w:t>
      </w:r>
      <w:r w:rsidRPr="009A1044">
        <w:rPr>
          <w:kern w:val="0"/>
        </w:rPr>
        <w:t>% of the market value of the total outstanding common stock of any one company;</w:t>
      </w:r>
    </w:p>
    <w:p w:rsidR="009A1044" w:rsidRPr="009A1044" w:rsidRDefault="009A1044" w:rsidP="009A1044">
      <w:pPr>
        <w:widowControl w:val="0"/>
        <w:tabs>
          <w:tab w:val="left" w:pos="480"/>
        </w:tabs>
        <w:spacing w:before="180"/>
        <w:ind w:left="360" w:right="-20" w:hanging="338"/>
        <w:rPr>
          <w:kern w:val="0"/>
        </w:rPr>
      </w:pPr>
      <w:r w:rsidRPr="009A1044">
        <w:rPr>
          <w:kern w:val="0"/>
        </w:rPr>
        <w:t>•</w:t>
      </w:r>
      <w:r w:rsidRPr="009A1044">
        <w:rPr>
          <w:kern w:val="0"/>
        </w:rPr>
        <w:tab/>
        <w:t xml:space="preserve">There is no constraint on the economic sector allocations of the portfolio.  </w:t>
      </w:r>
      <w:r w:rsidRPr="009A1044">
        <w:rPr>
          <w:rFonts w:eastAsia="Arial"/>
          <w:kern w:val="0"/>
        </w:rPr>
        <w:t xml:space="preserve">It </w:t>
      </w:r>
      <w:r w:rsidRPr="009A1044">
        <w:rPr>
          <w:kern w:val="0"/>
        </w:rPr>
        <w:t>is understood the investment manager may concentrate portfolio holdings in a limited number of economic sectors from time-to-time;</w:t>
      </w:r>
    </w:p>
    <w:p w:rsidR="009A1044" w:rsidRPr="009A1044" w:rsidRDefault="009A1044" w:rsidP="009A1044">
      <w:pPr>
        <w:widowControl w:val="0"/>
        <w:tabs>
          <w:tab w:val="left" w:pos="500"/>
          <w:tab w:val="left" w:pos="720"/>
        </w:tabs>
        <w:spacing w:before="180"/>
        <w:ind w:left="360" w:right="-20" w:hanging="337"/>
        <w:rPr>
          <w:kern w:val="0"/>
        </w:rPr>
      </w:pPr>
      <w:r w:rsidRPr="009A1044">
        <w:rPr>
          <w:kern w:val="0"/>
        </w:rPr>
        <w:t>•</w:t>
      </w:r>
      <w:r w:rsidRPr="009A1044">
        <w:rPr>
          <w:kern w:val="0"/>
        </w:rPr>
        <w:tab/>
        <w:t>Equities are limited to large and medium capitalization stocks.  The minimum market capitalization at the time of purchase should be greater than $1 billion;</w:t>
      </w:r>
    </w:p>
    <w:p w:rsidR="009A1044" w:rsidRPr="009A1044" w:rsidRDefault="009A1044" w:rsidP="009A1044">
      <w:pPr>
        <w:widowControl w:val="0"/>
        <w:tabs>
          <w:tab w:val="left" w:pos="500"/>
          <w:tab w:val="left" w:pos="720"/>
        </w:tabs>
        <w:spacing w:before="180"/>
        <w:ind w:left="360" w:right="-20" w:hanging="337"/>
        <w:rPr>
          <w:kern w:val="0"/>
        </w:rPr>
      </w:pPr>
      <w:r w:rsidRPr="009A1044">
        <w:rPr>
          <w:kern w:val="0"/>
        </w:rPr>
        <w:t>•</w:t>
      </w:r>
      <w:r w:rsidRPr="009A1044">
        <w:rPr>
          <w:kern w:val="0"/>
        </w:rPr>
        <w:tab/>
        <w:t>From time-to-time, the investment manager may invest in U.S. dollar denominated equities of non-US companies that otherwise conform to the provisions of this investment policy.</w:t>
      </w:r>
    </w:p>
    <w:p w:rsidR="009A1044" w:rsidRPr="009A1044" w:rsidRDefault="009A1044" w:rsidP="009A1044">
      <w:pPr>
        <w:keepNext/>
        <w:keepLines/>
        <w:widowControl w:val="0"/>
        <w:spacing w:before="180"/>
        <w:ind w:left="720"/>
        <w:outlineLvl w:val="2"/>
        <w:rPr>
          <w:rFonts w:cstheme="majorBidi"/>
          <w:b/>
          <w:bCs/>
          <w:kern w:val="0"/>
        </w:rPr>
      </w:pPr>
      <w:bookmarkStart w:id="8" w:name="_Toc405547524"/>
      <w:bookmarkStart w:id="9" w:name="_Toc406075037"/>
      <w:bookmarkStart w:id="10" w:name="_Toc406075089"/>
      <w:bookmarkStart w:id="11" w:name="_Toc407095513"/>
      <w:r w:rsidRPr="009A1044">
        <w:rPr>
          <w:rFonts w:cstheme="majorBidi"/>
          <w:b/>
          <w:bCs/>
          <w:kern w:val="0"/>
        </w:rPr>
        <w:t>Small/Medium Capitalization Equity Portfolio(s)</w:t>
      </w:r>
      <w:bookmarkEnd w:id="8"/>
      <w:bookmarkEnd w:id="9"/>
      <w:bookmarkEnd w:id="10"/>
      <w:bookmarkEnd w:id="11"/>
    </w:p>
    <w:p w:rsidR="009A1044" w:rsidRPr="009A1044" w:rsidRDefault="009A1044" w:rsidP="009A1044">
      <w:pPr>
        <w:widowControl w:val="0"/>
        <w:tabs>
          <w:tab w:val="left" w:pos="480"/>
        </w:tabs>
        <w:spacing w:before="180"/>
        <w:ind w:left="360" w:right="-20" w:hanging="338"/>
        <w:rPr>
          <w:kern w:val="0"/>
        </w:rPr>
      </w:pPr>
      <w:r w:rsidRPr="009A1044">
        <w:rPr>
          <w:kern w:val="0"/>
        </w:rPr>
        <w:t>•</w:t>
      </w:r>
      <w:r w:rsidRPr="009A1044">
        <w:rPr>
          <w:kern w:val="0"/>
        </w:rPr>
        <w:tab/>
        <w:t xml:space="preserve">Equities are limited to small and medium capitalization stocks.  The market capitalization of any one equity security shall be between </w:t>
      </w:r>
      <w:r>
        <w:rPr>
          <w:strike/>
          <w:kern w:val="0"/>
        </w:rPr>
        <w:t xml:space="preserve">$100 million and $10 </w:t>
      </w:r>
      <w:r w:rsidRPr="009A1044">
        <w:rPr>
          <w:kern w:val="0"/>
        </w:rPr>
        <w:t>billion</w:t>
      </w:r>
      <w:r>
        <w:rPr>
          <w:kern w:val="0"/>
        </w:rPr>
        <w:t xml:space="preserve"> </w:t>
      </w:r>
      <w:r w:rsidRPr="009A1044">
        <w:rPr>
          <w:b/>
          <w:color w:val="0000FF" w:themeColor="background1"/>
          <w:kern w:val="0"/>
        </w:rPr>
        <w:t>the smallest and largest company market caps within the Russell 2500 index</w:t>
      </w:r>
      <w:r w:rsidRPr="009A1044">
        <w:rPr>
          <w:kern w:val="0"/>
        </w:rPr>
        <w:t xml:space="preserve"> at the time of purchase;</w:t>
      </w:r>
    </w:p>
    <w:p w:rsidR="009A1044" w:rsidRPr="009A1044" w:rsidRDefault="009A1044" w:rsidP="009A1044">
      <w:pPr>
        <w:widowControl w:val="0"/>
        <w:tabs>
          <w:tab w:val="left" w:pos="480"/>
        </w:tabs>
        <w:spacing w:before="180"/>
        <w:ind w:left="360" w:right="-20" w:hanging="338"/>
        <w:rPr>
          <w:kern w:val="0"/>
        </w:rPr>
      </w:pPr>
      <w:r w:rsidRPr="009A1044">
        <w:rPr>
          <w:kern w:val="0"/>
        </w:rPr>
        <w:t>•</w:t>
      </w:r>
      <w:r w:rsidRPr="009A1044">
        <w:rPr>
          <w:kern w:val="0"/>
        </w:rPr>
        <w:tab/>
        <w:t>Holdings of any single issue in this investment manager's portfolio shall not exceed more than 5% of the market value of the total outstanding common stock of any one company*;</w:t>
      </w:r>
    </w:p>
    <w:p w:rsidR="009A1044" w:rsidRPr="009A1044" w:rsidRDefault="009A1044" w:rsidP="009A1044">
      <w:pPr>
        <w:widowControl w:val="0"/>
        <w:tabs>
          <w:tab w:val="left" w:pos="480"/>
        </w:tabs>
        <w:spacing w:before="180"/>
        <w:ind w:left="360" w:right="-20" w:hanging="338"/>
        <w:rPr>
          <w:kern w:val="0"/>
        </w:rPr>
      </w:pPr>
      <w:r w:rsidRPr="009A1044">
        <w:rPr>
          <w:kern w:val="0"/>
        </w:rPr>
        <w:t>•</w:t>
      </w:r>
      <w:r w:rsidRPr="009A1044">
        <w:rPr>
          <w:kern w:val="0"/>
        </w:rPr>
        <w:tab/>
        <w:t xml:space="preserve">There is no constraint on the economic sector allocations of the portfolio.  </w:t>
      </w:r>
      <w:r w:rsidRPr="009A1044">
        <w:rPr>
          <w:rFonts w:eastAsia="Arial"/>
          <w:kern w:val="0"/>
        </w:rPr>
        <w:t xml:space="preserve">It </w:t>
      </w:r>
      <w:r w:rsidRPr="009A1044">
        <w:rPr>
          <w:kern w:val="0"/>
        </w:rPr>
        <w:t>is understood the investment manager may concentrate portfolio holdings in a limited number of economic sectors from time-to-time;</w:t>
      </w:r>
    </w:p>
    <w:p w:rsidR="009A1044" w:rsidRPr="009A1044" w:rsidRDefault="009A1044" w:rsidP="009A1044">
      <w:pPr>
        <w:widowControl w:val="0"/>
        <w:tabs>
          <w:tab w:val="left" w:pos="480"/>
        </w:tabs>
        <w:spacing w:before="180"/>
        <w:ind w:left="360" w:right="-20" w:hanging="338"/>
        <w:rPr>
          <w:kern w:val="0"/>
        </w:rPr>
      </w:pPr>
      <w:r w:rsidRPr="009A1044">
        <w:rPr>
          <w:kern w:val="0"/>
        </w:rPr>
        <w:t>•</w:t>
      </w:r>
      <w:r w:rsidRPr="009A1044">
        <w:rPr>
          <w:kern w:val="0"/>
        </w:rPr>
        <w:tab/>
        <w:t>From time-to-time, the investment manager may invest in U.S. dollar denominated equities of non-US companies that otherwise conform to the provisions of this investment policy.</w:t>
      </w:r>
    </w:p>
    <w:p w:rsidR="009A1044" w:rsidRPr="009A1044" w:rsidRDefault="009A1044" w:rsidP="009A1044">
      <w:pPr>
        <w:widowControl w:val="0"/>
        <w:spacing w:before="180"/>
        <w:ind w:right="-20" w:hanging="90"/>
        <w:rPr>
          <w:kern w:val="0"/>
        </w:rPr>
      </w:pPr>
      <w:r w:rsidRPr="009A1044">
        <w:rPr>
          <w:i/>
          <w:kern w:val="0"/>
        </w:rPr>
        <w:t>*It is recognized, however, that an investment manager's holdings of a single issue in all portfolios firm wide may exceed this limit.  This constraint applies only to the Plan's holdings.</w:t>
      </w:r>
    </w:p>
    <w:p w:rsidR="009A1044" w:rsidRPr="009A1044" w:rsidRDefault="009A1044" w:rsidP="009A1044">
      <w:pPr>
        <w:keepNext/>
        <w:keepLines/>
        <w:widowControl w:val="0"/>
        <w:spacing w:before="180"/>
        <w:ind w:left="720"/>
        <w:outlineLvl w:val="2"/>
        <w:rPr>
          <w:rFonts w:cstheme="majorBidi"/>
          <w:b/>
          <w:bCs/>
          <w:kern w:val="0"/>
        </w:rPr>
      </w:pPr>
      <w:bookmarkStart w:id="12" w:name="_Toc405547525"/>
      <w:bookmarkStart w:id="13" w:name="_Toc406075038"/>
      <w:bookmarkStart w:id="14" w:name="_Toc406075090"/>
      <w:bookmarkStart w:id="15" w:name="_Toc407095514"/>
      <w:r w:rsidRPr="009A1044">
        <w:rPr>
          <w:rFonts w:cstheme="majorBidi"/>
          <w:b/>
          <w:bCs/>
          <w:kern w:val="0"/>
        </w:rPr>
        <w:t xml:space="preserve">International </w:t>
      </w:r>
      <w:r w:rsidRPr="009A1044">
        <w:rPr>
          <w:rFonts w:cstheme="majorBidi"/>
          <w:b/>
          <w:bCs/>
          <w:color w:val="0000FF" w:themeColor="background1"/>
          <w:kern w:val="0"/>
        </w:rPr>
        <w:t xml:space="preserve">&amp; Emerging Markets </w:t>
      </w:r>
      <w:r w:rsidRPr="009A1044">
        <w:rPr>
          <w:rFonts w:cstheme="majorBidi"/>
          <w:b/>
          <w:bCs/>
          <w:kern w:val="0"/>
        </w:rPr>
        <w:t>Equity Portfolio</w:t>
      </w:r>
      <w:bookmarkEnd w:id="12"/>
      <w:bookmarkEnd w:id="13"/>
      <w:bookmarkEnd w:id="14"/>
      <w:bookmarkEnd w:id="15"/>
      <w:r w:rsidRPr="009A1044">
        <w:rPr>
          <w:rFonts w:cstheme="majorBidi"/>
          <w:b/>
          <w:bCs/>
          <w:color w:val="0000FF" w:themeColor="background1"/>
          <w:kern w:val="0"/>
        </w:rPr>
        <w:t>(s)</w:t>
      </w:r>
    </w:p>
    <w:p w:rsidR="009A1044" w:rsidRPr="009A1044" w:rsidRDefault="009A1044" w:rsidP="009A1044">
      <w:pPr>
        <w:widowControl w:val="0"/>
        <w:spacing w:before="180"/>
        <w:ind w:right="-20" w:firstLine="5"/>
        <w:rPr>
          <w:kern w:val="0"/>
        </w:rPr>
      </w:pPr>
      <w:r w:rsidRPr="009A1044">
        <w:rPr>
          <w:kern w:val="0"/>
        </w:rPr>
        <w:t>Subject to the usual standards of fiduciary prudence the investment manager shall have the discretion to determine their portfolio's country allocations.  However, the country allocations and portfolio structure should conform to these guidelines:</w:t>
      </w:r>
    </w:p>
    <w:p w:rsidR="009A1044" w:rsidRPr="009A1044" w:rsidRDefault="009A1044" w:rsidP="009A1044">
      <w:pPr>
        <w:widowControl w:val="0"/>
        <w:tabs>
          <w:tab w:val="left" w:pos="480"/>
        </w:tabs>
        <w:spacing w:before="180"/>
        <w:ind w:left="360" w:right="-20" w:hanging="338"/>
        <w:rPr>
          <w:kern w:val="0"/>
        </w:rPr>
      </w:pPr>
      <w:r w:rsidRPr="009A1044">
        <w:rPr>
          <w:kern w:val="0"/>
        </w:rPr>
        <w:t>•</w:t>
      </w:r>
      <w:r w:rsidRPr="009A1044">
        <w:rPr>
          <w:kern w:val="0"/>
        </w:rPr>
        <w:tab/>
        <w:t>Investments in any one security shall not exceed 10% of the market value of the investment manager's portfolio;</w:t>
      </w:r>
    </w:p>
    <w:p w:rsidR="009A1044" w:rsidRPr="009A1044" w:rsidRDefault="009A1044" w:rsidP="009A1044">
      <w:pPr>
        <w:widowControl w:val="0"/>
        <w:tabs>
          <w:tab w:val="left" w:pos="480"/>
        </w:tabs>
        <w:spacing w:before="180"/>
        <w:ind w:left="360" w:right="-20" w:hanging="338"/>
        <w:rPr>
          <w:kern w:val="0"/>
        </w:rPr>
      </w:pPr>
      <w:r w:rsidRPr="009A1044">
        <w:rPr>
          <w:kern w:val="0"/>
        </w:rPr>
        <w:t>•</w:t>
      </w:r>
      <w:r w:rsidRPr="009A1044">
        <w:rPr>
          <w:kern w:val="0"/>
        </w:rPr>
        <w:tab/>
        <w:t>Currency hedging is not permitted (it is recognized, however, that mutual or other commingled funds may engage in hedging activity);</w:t>
      </w:r>
    </w:p>
    <w:p w:rsidR="009A1044" w:rsidRPr="009A1044" w:rsidRDefault="009A1044" w:rsidP="009A1044">
      <w:pPr>
        <w:widowControl w:val="0"/>
        <w:tabs>
          <w:tab w:val="left" w:pos="480"/>
        </w:tabs>
        <w:spacing w:before="180"/>
        <w:ind w:left="360" w:right="-20" w:hanging="360"/>
        <w:rPr>
          <w:kern w:val="0"/>
        </w:rPr>
      </w:pPr>
      <w:r w:rsidRPr="009A1044">
        <w:rPr>
          <w:kern w:val="0"/>
        </w:rPr>
        <w:t>•</w:t>
      </w:r>
      <w:r w:rsidRPr="009A1044">
        <w:rPr>
          <w:kern w:val="0"/>
        </w:rPr>
        <w:tab/>
        <w:t>No fewer than three countries represented in the portfolio;</w:t>
      </w:r>
    </w:p>
    <w:p w:rsidR="009A1044" w:rsidRPr="009A1044" w:rsidRDefault="009A1044" w:rsidP="009A1044">
      <w:pPr>
        <w:widowControl w:val="0"/>
        <w:tabs>
          <w:tab w:val="left" w:pos="480"/>
        </w:tabs>
        <w:spacing w:before="180"/>
        <w:ind w:left="360" w:right="-20" w:hanging="360"/>
        <w:rPr>
          <w:kern w:val="0"/>
        </w:rPr>
      </w:pPr>
      <w:r w:rsidRPr="009A1044">
        <w:rPr>
          <w:kern w:val="0"/>
        </w:rPr>
        <w:t>•</w:t>
      </w:r>
      <w:r w:rsidRPr="009A1044">
        <w:rPr>
          <w:kern w:val="0"/>
        </w:rPr>
        <w:tab/>
        <w:t xml:space="preserve">No more than 20% of the market value of the portfolio may be invested in countries not represented in the </w:t>
      </w:r>
      <w:r>
        <w:rPr>
          <w:strike/>
          <w:kern w:val="0"/>
        </w:rPr>
        <w:t xml:space="preserve">MSCI EAFE Index plus </w:t>
      </w:r>
      <w:r w:rsidRPr="009A1044">
        <w:rPr>
          <w:strike/>
          <w:kern w:val="0"/>
        </w:rPr>
        <w:t>Canada</w:t>
      </w:r>
      <w:r>
        <w:rPr>
          <w:kern w:val="0"/>
        </w:rPr>
        <w:t xml:space="preserve"> </w:t>
      </w:r>
      <w:r w:rsidRPr="009A1044">
        <w:rPr>
          <w:b/>
          <w:color w:val="0000FF" w:themeColor="background1"/>
          <w:kern w:val="0"/>
        </w:rPr>
        <w:t>Investment Manager’s appropriate style specific benchmark;</w:t>
      </w:r>
    </w:p>
    <w:p w:rsidR="009A1044" w:rsidRPr="009A1044" w:rsidRDefault="009A1044" w:rsidP="009A1044">
      <w:pPr>
        <w:widowControl w:val="0"/>
        <w:tabs>
          <w:tab w:val="left" w:pos="480"/>
        </w:tabs>
        <w:spacing w:before="180"/>
        <w:ind w:left="360" w:right="-20" w:hanging="360"/>
        <w:rPr>
          <w:kern w:val="0"/>
        </w:rPr>
      </w:pPr>
      <w:r w:rsidRPr="009A1044">
        <w:rPr>
          <w:kern w:val="0"/>
        </w:rPr>
        <w:t>•</w:t>
      </w:r>
      <w:r w:rsidRPr="009A1044">
        <w:rPr>
          <w:kern w:val="0"/>
        </w:rPr>
        <w:tab/>
        <w:t>Non-U.S. dollar denominated equity securities are not permitted;</w:t>
      </w:r>
    </w:p>
    <w:p w:rsidR="009A1044" w:rsidRPr="009A1044" w:rsidRDefault="009A1044" w:rsidP="009A1044">
      <w:pPr>
        <w:widowControl w:val="0"/>
        <w:tabs>
          <w:tab w:val="left" w:pos="480"/>
        </w:tabs>
        <w:spacing w:before="180"/>
        <w:ind w:left="360" w:right="-20" w:hanging="360"/>
        <w:rPr>
          <w:kern w:val="0"/>
        </w:rPr>
      </w:pPr>
      <w:r w:rsidRPr="009A1044">
        <w:rPr>
          <w:kern w:val="0"/>
        </w:rPr>
        <w:t>•</w:t>
      </w:r>
      <w:r w:rsidRPr="009A1044">
        <w:rPr>
          <w:kern w:val="0"/>
        </w:rPr>
        <w:tab/>
        <w:t>No investments in securities of US based companies or convertible into the securities of US based companies.</w:t>
      </w:r>
    </w:p>
    <w:p w:rsidR="009A1044" w:rsidRPr="009A1044" w:rsidRDefault="009A1044" w:rsidP="009A1044">
      <w:pPr>
        <w:keepNext/>
        <w:keepLines/>
        <w:widowControl w:val="0"/>
        <w:spacing w:before="180"/>
        <w:ind w:left="720"/>
        <w:outlineLvl w:val="2"/>
        <w:rPr>
          <w:rFonts w:cstheme="majorBidi"/>
          <w:b/>
          <w:bCs/>
          <w:kern w:val="0"/>
        </w:rPr>
      </w:pPr>
      <w:bookmarkStart w:id="16" w:name="_Toc405547526"/>
      <w:bookmarkStart w:id="17" w:name="_Toc406075039"/>
      <w:bookmarkStart w:id="18" w:name="_Toc406075091"/>
      <w:bookmarkStart w:id="19" w:name="_Toc407095515"/>
      <w:r w:rsidRPr="009A1044">
        <w:rPr>
          <w:rFonts w:cstheme="majorBidi"/>
          <w:b/>
          <w:bCs/>
          <w:kern w:val="0"/>
        </w:rPr>
        <w:t>Fixed Income Portfolio(s)</w:t>
      </w:r>
      <w:bookmarkEnd w:id="16"/>
      <w:bookmarkEnd w:id="17"/>
      <w:bookmarkEnd w:id="18"/>
      <w:bookmarkEnd w:id="19"/>
    </w:p>
    <w:p w:rsidR="009A1044" w:rsidRPr="009A1044" w:rsidRDefault="009A1044" w:rsidP="009A1044">
      <w:pPr>
        <w:widowControl w:val="0"/>
        <w:tabs>
          <w:tab w:val="left" w:pos="480"/>
        </w:tabs>
        <w:spacing w:before="180"/>
        <w:ind w:left="360" w:right="-20" w:hanging="326"/>
        <w:rPr>
          <w:kern w:val="0"/>
        </w:rPr>
      </w:pPr>
      <w:r w:rsidRPr="009A1044">
        <w:rPr>
          <w:kern w:val="0"/>
        </w:rPr>
        <w:t>•</w:t>
      </w:r>
      <w:r w:rsidRPr="009A1044">
        <w:rPr>
          <w:kern w:val="0"/>
        </w:rPr>
        <w:tab/>
        <w:t>Fixed income securities (except for those listed below) shall be rated "BAA"* (or its equivalent) or higher at the time of purchase by a nationally recognized statistical rating agency.  The minimum dollar-weighted average credit quality rating of the fixed income portfolio is "AA".  Asset backed securities, mortgage backed securities, and CMOs shall be rated "AAA" (or its equivalent) at the time of purchase by a nationally recognized statistical rating agency;</w:t>
      </w:r>
    </w:p>
    <w:p w:rsidR="009A1044" w:rsidRPr="009A1044" w:rsidRDefault="009A1044" w:rsidP="009A1044">
      <w:pPr>
        <w:widowControl w:val="0"/>
        <w:tabs>
          <w:tab w:val="left" w:pos="480"/>
        </w:tabs>
        <w:spacing w:before="180"/>
        <w:ind w:left="360" w:right="-20" w:hanging="331"/>
        <w:rPr>
          <w:kern w:val="0"/>
        </w:rPr>
      </w:pPr>
      <w:r w:rsidRPr="009A1044">
        <w:rPr>
          <w:kern w:val="0"/>
        </w:rPr>
        <w:t>•</w:t>
      </w:r>
      <w:r w:rsidRPr="009A1044">
        <w:rPr>
          <w:kern w:val="0"/>
        </w:rPr>
        <w:tab/>
        <w:t>Should a security be down-graded below "BAA-" (or  its equivalent), the investment manager will advise the Board of Trustees (or an authorized representative) and the Investment Consultant in writing of this change and be able to provide the Board of Trustees (or an authorized representative) with a recommended course of action;</w:t>
      </w:r>
    </w:p>
    <w:p w:rsidR="009A1044" w:rsidRPr="009A1044" w:rsidRDefault="009A1044" w:rsidP="009A1044">
      <w:pPr>
        <w:widowControl w:val="0"/>
        <w:tabs>
          <w:tab w:val="left" w:pos="480"/>
        </w:tabs>
        <w:spacing w:before="180"/>
        <w:ind w:left="360" w:right="-20" w:hanging="331"/>
        <w:rPr>
          <w:kern w:val="0"/>
        </w:rPr>
      </w:pPr>
      <w:r w:rsidRPr="009A1044">
        <w:rPr>
          <w:kern w:val="0"/>
        </w:rPr>
        <w:t>•</w:t>
      </w:r>
      <w:r w:rsidRPr="009A1044">
        <w:rPr>
          <w:kern w:val="0"/>
        </w:rPr>
        <w:tab/>
        <w:t>Fixed income securities of a single issuer or issue, with the exception of U.S. Government and Agency securities, are limited to no more than 5% of the market value of the portfolio;</w:t>
      </w:r>
    </w:p>
    <w:p w:rsidR="009A1044" w:rsidRPr="009A1044" w:rsidRDefault="009A1044" w:rsidP="009A1044">
      <w:pPr>
        <w:widowControl w:val="0"/>
        <w:tabs>
          <w:tab w:val="left" w:pos="480"/>
        </w:tabs>
        <w:spacing w:before="180"/>
        <w:ind w:left="360" w:right="-20" w:hanging="336"/>
        <w:rPr>
          <w:kern w:val="0"/>
        </w:rPr>
      </w:pPr>
      <w:r w:rsidRPr="009A1044">
        <w:rPr>
          <w:kern w:val="0"/>
        </w:rPr>
        <w:t>•</w:t>
      </w:r>
      <w:r w:rsidRPr="009A1044">
        <w:rPr>
          <w:kern w:val="0"/>
        </w:rPr>
        <w:tab/>
        <w:t>The maximum maturity of any single security should not exceed 31 years.  The dollar weighted duration of the fixed income portfolio should be within ±10% of the dollar weighted duration of the performance benchmark;</w:t>
      </w:r>
    </w:p>
    <w:p w:rsidR="009A1044" w:rsidRPr="009A1044" w:rsidRDefault="009A1044" w:rsidP="009A1044">
      <w:pPr>
        <w:widowControl w:val="0"/>
        <w:tabs>
          <w:tab w:val="left" w:pos="460"/>
        </w:tabs>
        <w:spacing w:before="180"/>
        <w:ind w:left="360" w:right="-20" w:hanging="331"/>
        <w:rPr>
          <w:kern w:val="0"/>
        </w:rPr>
      </w:pPr>
      <w:r w:rsidRPr="009A1044">
        <w:rPr>
          <w:kern w:val="0"/>
        </w:rPr>
        <w:t>•</w:t>
      </w:r>
      <w:r w:rsidRPr="009A1044">
        <w:rPr>
          <w:kern w:val="0"/>
        </w:rPr>
        <w:tab/>
        <w:t>No more than 30% of the market value of the investment manager's portfolio may be invested in a single sector of the corporate fixed income market. Sector definitions shall be according to the investment manager's own classifications, which should be provided to the Board of Trustees upon request;</w:t>
      </w:r>
    </w:p>
    <w:p w:rsidR="009A1044" w:rsidRPr="009A1044" w:rsidRDefault="009A1044" w:rsidP="009A1044">
      <w:pPr>
        <w:widowControl w:val="0"/>
        <w:numPr>
          <w:ilvl w:val="0"/>
          <w:numId w:val="44"/>
        </w:numPr>
        <w:tabs>
          <w:tab w:val="left" w:pos="460"/>
        </w:tabs>
        <w:spacing w:before="180" w:after="200" w:line="276" w:lineRule="auto"/>
        <w:ind w:right="-20"/>
        <w:rPr>
          <w:kern w:val="0"/>
        </w:rPr>
      </w:pPr>
      <w:r w:rsidRPr="009A1044">
        <w:rPr>
          <w:kern w:val="0"/>
        </w:rPr>
        <w:t>The investment manager(s) shall not use derivative securities to increase the portfolio risk.</w:t>
      </w:r>
    </w:p>
    <w:p w:rsidR="009A1044" w:rsidRPr="009A1044" w:rsidRDefault="009A1044" w:rsidP="009A1044">
      <w:pPr>
        <w:widowControl w:val="0"/>
        <w:spacing w:before="180"/>
        <w:ind w:right="-20" w:firstLine="19"/>
        <w:rPr>
          <w:kern w:val="0"/>
        </w:rPr>
      </w:pPr>
      <w:r w:rsidRPr="009A1044">
        <w:rPr>
          <w:i/>
          <w:kern w:val="0"/>
        </w:rPr>
        <w:t xml:space="preserve">*All rating categories, including qualifiers </w:t>
      </w:r>
      <w:r w:rsidRPr="009A1044">
        <w:rPr>
          <w:rFonts w:eastAsia="Arial"/>
          <w:kern w:val="0"/>
        </w:rPr>
        <w:t xml:space="preserve">"+" </w:t>
      </w:r>
      <w:r w:rsidRPr="009A1044">
        <w:rPr>
          <w:i/>
          <w:kern w:val="0"/>
        </w:rPr>
        <w:t xml:space="preserve">and "-" for S&amp;P and </w:t>
      </w:r>
      <w:r w:rsidRPr="009A1044">
        <w:rPr>
          <w:rFonts w:eastAsia="Arial"/>
          <w:i/>
          <w:kern w:val="0"/>
        </w:rPr>
        <w:t xml:space="preserve">"1", </w:t>
      </w:r>
      <w:r w:rsidRPr="009A1044">
        <w:rPr>
          <w:i/>
          <w:kern w:val="0"/>
        </w:rPr>
        <w:t>"2" and "3" for Moody's. In the event of a "split rated" security, that is a security with non-equivalent rating classifications from different rating agencies, the lower of the credit quality ratings shall apply.</w:t>
      </w:r>
    </w:p>
    <w:p w:rsidR="009A1044" w:rsidRPr="009A1044" w:rsidRDefault="009A1044" w:rsidP="009A1044">
      <w:pPr>
        <w:keepNext/>
        <w:keepLines/>
        <w:widowControl w:val="0"/>
        <w:spacing w:before="180"/>
        <w:ind w:left="720"/>
        <w:outlineLvl w:val="2"/>
        <w:rPr>
          <w:rFonts w:cstheme="majorBidi"/>
          <w:b/>
          <w:bCs/>
          <w:color w:val="0000FF" w:themeColor="background1"/>
          <w:kern w:val="0"/>
        </w:rPr>
      </w:pPr>
      <w:r w:rsidRPr="009A1044">
        <w:rPr>
          <w:rFonts w:cstheme="majorBidi"/>
          <w:b/>
          <w:bCs/>
          <w:color w:val="0000FF" w:themeColor="background1"/>
          <w:kern w:val="0"/>
        </w:rPr>
        <w:t>Real Assets / Master Limited Partnerships Portfolio(s)</w:t>
      </w:r>
    </w:p>
    <w:p w:rsidR="009A1044" w:rsidRPr="009A1044" w:rsidRDefault="009A1044" w:rsidP="009A1044">
      <w:pPr>
        <w:keepNext/>
        <w:keepLines/>
        <w:widowControl w:val="0"/>
        <w:numPr>
          <w:ilvl w:val="0"/>
          <w:numId w:val="45"/>
        </w:numPr>
        <w:spacing w:before="180"/>
        <w:ind w:left="360" w:hanging="274"/>
        <w:outlineLvl w:val="2"/>
        <w:rPr>
          <w:rFonts w:cstheme="majorBidi"/>
          <w:b/>
          <w:bCs/>
          <w:color w:val="0000FF" w:themeColor="background1"/>
          <w:kern w:val="0"/>
        </w:rPr>
      </w:pPr>
      <w:r w:rsidRPr="009A1044">
        <w:rPr>
          <w:rFonts w:cstheme="majorBidi"/>
          <w:b/>
          <w:bCs/>
          <w:color w:val="0000FF" w:themeColor="background1"/>
          <w:kern w:val="0"/>
        </w:rPr>
        <w:t>Holdings of any single issue in this investment manager’s portfolio shall not exceed more than 10% of the market value of the total outstanding common stock of any one company</w:t>
      </w:r>
    </w:p>
    <w:p w:rsidR="009A1044" w:rsidRPr="009A1044" w:rsidRDefault="009A1044" w:rsidP="009A1044">
      <w:pPr>
        <w:keepNext/>
        <w:keepLines/>
        <w:widowControl w:val="0"/>
        <w:numPr>
          <w:ilvl w:val="0"/>
          <w:numId w:val="45"/>
        </w:numPr>
        <w:spacing w:before="180"/>
        <w:ind w:left="360" w:hanging="274"/>
        <w:outlineLvl w:val="2"/>
        <w:rPr>
          <w:rFonts w:cstheme="majorBidi"/>
          <w:b/>
          <w:bCs/>
          <w:color w:val="0000FF" w:themeColor="background1"/>
          <w:kern w:val="0"/>
        </w:rPr>
      </w:pPr>
      <w:r w:rsidRPr="009A1044">
        <w:rPr>
          <w:rFonts w:cstheme="majorBidi"/>
          <w:b/>
          <w:bCs/>
          <w:color w:val="0000FF" w:themeColor="background1"/>
          <w:kern w:val="0"/>
        </w:rPr>
        <w:t xml:space="preserve">There is no constraint on the economic sector allocations of the portfolio. It is understood the investment manager may concentrate portfolio holdings in a limited number of economic sectors from time to time; </w:t>
      </w:r>
    </w:p>
    <w:p w:rsidR="009A1044" w:rsidRPr="009A1044" w:rsidRDefault="009A1044" w:rsidP="009A1044">
      <w:pPr>
        <w:keepNext/>
        <w:keepLines/>
        <w:widowControl w:val="0"/>
        <w:numPr>
          <w:ilvl w:val="0"/>
          <w:numId w:val="45"/>
        </w:numPr>
        <w:spacing w:before="180"/>
        <w:ind w:left="360" w:hanging="274"/>
        <w:outlineLvl w:val="2"/>
        <w:rPr>
          <w:rFonts w:cstheme="majorBidi"/>
          <w:b/>
          <w:bCs/>
          <w:color w:val="0000FF" w:themeColor="background1"/>
          <w:kern w:val="0"/>
        </w:rPr>
      </w:pPr>
      <w:r w:rsidRPr="009A1044">
        <w:rPr>
          <w:rFonts w:cstheme="majorBidi"/>
          <w:b/>
          <w:bCs/>
          <w:color w:val="0000FF" w:themeColor="background1"/>
          <w:kern w:val="0"/>
        </w:rPr>
        <w:t>Equities maybe large, medium or small capitalization stocks. The minimum market capitalization at the time of purchase should be greater than $100 million at the time of purchase;</w:t>
      </w:r>
    </w:p>
    <w:p w:rsidR="009A1044" w:rsidRPr="009A1044" w:rsidRDefault="009A1044" w:rsidP="009A1044">
      <w:pPr>
        <w:rPr>
          <w:rFonts w:cstheme="majorBidi"/>
          <w:b/>
          <w:bCs/>
          <w:color w:val="0000FF" w:themeColor="background1"/>
          <w:kern w:val="0"/>
        </w:rPr>
      </w:pPr>
    </w:p>
    <w:p w:rsidR="009A1044" w:rsidRPr="009A1044" w:rsidRDefault="009A1044" w:rsidP="009A1044">
      <w:pPr>
        <w:numPr>
          <w:ilvl w:val="0"/>
          <w:numId w:val="44"/>
        </w:numPr>
        <w:rPr>
          <w:b/>
          <w:color w:val="0000FF" w:themeColor="background1"/>
        </w:rPr>
      </w:pPr>
      <w:r w:rsidRPr="009A1044">
        <w:rPr>
          <w:rFonts w:cstheme="majorBidi"/>
          <w:b/>
          <w:bCs/>
          <w:color w:val="0000FF" w:themeColor="background1"/>
          <w:kern w:val="0"/>
        </w:rPr>
        <w:t>From time-to-time, the investment manager may invest in U.S. dollar denominated equities of non-U.S. companies that otherwise conform to the provisions of this investment policy.</w:t>
      </w:r>
    </w:p>
    <w:p w:rsidR="009A1044" w:rsidRPr="009A1044" w:rsidRDefault="009A1044" w:rsidP="004806E1">
      <w:pPr>
        <w:rPr>
          <w:b/>
          <w:color w:val="0000FF" w:themeColor="background1"/>
        </w:rPr>
      </w:pPr>
    </w:p>
    <w:p w:rsidR="00BD6626" w:rsidRPr="00E312AF" w:rsidRDefault="0025078C" w:rsidP="004806E1">
      <w:r>
        <w:t>Lastly, it was proposed that Master Limited Partnerships be removed from the list of prohibited investments.</w:t>
      </w:r>
    </w:p>
    <w:p w:rsidR="009D697E" w:rsidRDefault="009D697E" w:rsidP="004806E1">
      <w:pPr>
        <w:rPr>
          <w:color w:val="0000FF"/>
        </w:rPr>
      </w:pPr>
    </w:p>
    <w:p w:rsidR="009D697E" w:rsidRDefault="0025078C" w:rsidP="004806E1">
      <w:r w:rsidRPr="0025078C">
        <w:t>There was a brief discussion regarding the proposed changes.</w:t>
      </w:r>
    </w:p>
    <w:p w:rsidR="0025078C" w:rsidRDefault="0025078C" w:rsidP="004806E1"/>
    <w:p w:rsidR="0025078C" w:rsidRDefault="0025078C" w:rsidP="004806E1">
      <w:r>
        <w:t>Motion by Trustee Greenway to approve the changes to the Investment Policy as presented by Graystone at the meeting of October 24, 2018.</w:t>
      </w:r>
    </w:p>
    <w:p w:rsidR="0025078C" w:rsidRDefault="0025078C" w:rsidP="004806E1"/>
    <w:p w:rsidR="0025078C" w:rsidRDefault="00F95A7A" w:rsidP="004806E1">
      <w:r>
        <w:t>Motion supported</w:t>
      </w:r>
      <w:r w:rsidR="0025078C">
        <w:t xml:space="preserve"> by Chairperson Farrell and concurred in by unanimous vote.  </w:t>
      </w:r>
    </w:p>
    <w:p w:rsidR="0025078C" w:rsidRDefault="0025078C" w:rsidP="004806E1"/>
    <w:p w:rsidR="0025078C" w:rsidRDefault="0025078C" w:rsidP="004806E1">
      <w:r>
        <w:t>Analyst Burger indicated he would put together a final version of the document and share it with the System’s money managers.</w:t>
      </w:r>
    </w:p>
    <w:p w:rsidR="0025078C" w:rsidRPr="0025078C" w:rsidRDefault="0025078C" w:rsidP="004806E1"/>
    <w:p w:rsidR="00382E48" w:rsidRPr="00382E48" w:rsidRDefault="00382E48" w:rsidP="00382E48">
      <w:pPr>
        <w:pStyle w:val="Heading1"/>
      </w:pPr>
      <w:r w:rsidRPr="00382E48">
        <w:t>INVESTMENT CONSULTANT REPORT:</w:t>
      </w:r>
    </w:p>
    <w:p w:rsidR="009E18CA" w:rsidRDefault="009E18CA" w:rsidP="004806E1"/>
    <w:p w:rsidR="00252049" w:rsidRDefault="00252049" w:rsidP="00BF4A1B">
      <w:pPr>
        <w:rPr>
          <w:color w:val="0000FF" w:themeColor="background1"/>
        </w:rPr>
      </w:pPr>
      <w:r w:rsidRPr="002C68F4">
        <w:rPr>
          <w:b/>
        </w:rPr>
        <w:t>Third Quarter 2018 Market Commentary</w:t>
      </w:r>
    </w:p>
    <w:p w:rsidR="00252049" w:rsidRDefault="00252049" w:rsidP="00BF4A1B">
      <w:pPr>
        <w:rPr>
          <w:color w:val="0000FF" w:themeColor="background1"/>
        </w:rPr>
      </w:pPr>
    </w:p>
    <w:p w:rsidR="00A65FB2" w:rsidRPr="00CD0F58" w:rsidRDefault="00BF4A1B" w:rsidP="00BF4A1B">
      <w:r w:rsidRPr="00CD0F58">
        <w:t xml:space="preserve">Graystone Analyst Erik Burger presented the 2018 </w:t>
      </w:r>
      <w:r w:rsidR="00A65FB2" w:rsidRPr="00CD0F58">
        <w:t>third</w:t>
      </w:r>
      <w:r w:rsidRPr="00CD0F58">
        <w:t xml:space="preserve"> quarter report.  The overall portfolio is </w:t>
      </w:r>
      <w:r w:rsidR="00A65FB2" w:rsidRPr="00CD0F58">
        <w:t>up 3.</w:t>
      </w:r>
      <w:r w:rsidR="00F74B2E">
        <w:t>5</w:t>
      </w:r>
      <w:r w:rsidR="00A65FB2" w:rsidRPr="00CD0F58">
        <w:t>% for the quarter</w:t>
      </w:r>
      <w:r w:rsidRPr="00CD0F58">
        <w:t>.</w:t>
      </w:r>
      <w:r w:rsidR="00A65FB2" w:rsidRPr="00CD0F58">
        <w:t xml:space="preserve">  There has been a significant increase in market volatility this year as compared to last.</w:t>
      </w:r>
    </w:p>
    <w:p w:rsidR="00A65FB2" w:rsidRPr="00CD0F58" w:rsidRDefault="00A65FB2" w:rsidP="00BF4A1B">
      <w:r w:rsidRPr="00CD0F58">
        <w:t xml:space="preserve">The trade war with China, tariffs and the rising dollar has added to the volatility and the rise in interest rates has also affected the markets.  </w:t>
      </w:r>
    </w:p>
    <w:p w:rsidR="0040511D" w:rsidRPr="00CD0F58" w:rsidRDefault="0040511D" w:rsidP="00BF4A1B"/>
    <w:p w:rsidR="0040511D" w:rsidRPr="00CD0F58" w:rsidRDefault="0040511D" w:rsidP="00BF4A1B">
      <w:r w:rsidRPr="00CD0F58">
        <w:t>Mr. Burger continued his presentation, distributing a chart and highlighting the charts on page 17 of the quarterly repor</w:t>
      </w:r>
      <w:r w:rsidR="00EB4348" w:rsidRPr="00CD0F58">
        <w:t xml:space="preserve">t.  </w:t>
      </w:r>
      <w:r w:rsidR="00252049" w:rsidRPr="00CD0F58">
        <w:t xml:space="preserve">He pointed out that Graystone is monitoring these charts looking for an inverted curve, which could signal a recession is on the horizon.  As a result the Board should look to be a bit more defensive going forward.  </w:t>
      </w:r>
    </w:p>
    <w:p w:rsidR="00A65FB2" w:rsidRDefault="00A65FB2" w:rsidP="00BF4A1B">
      <w:pPr>
        <w:rPr>
          <w:color w:val="0000FF" w:themeColor="background1"/>
        </w:rPr>
      </w:pPr>
    </w:p>
    <w:p w:rsidR="00CD0F58" w:rsidRDefault="00CD0F58" w:rsidP="00BF4A1B">
      <w:pPr>
        <w:rPr>
          <w:color w:val="0000FF" w:themeColor="background1"/>
        </w:rPr>
      </w:pPr>
      <w:r w:rsidRPr="002C68F4">
        <w:rPr>
          <w:b/>
        </w:rPr>
        <w:t>Third Quarter 2018 Performance Report (and 4th Quarter to date)</w:t>
      </w:r>
    </w:p>
    <w:p w:rsidR="00CD0F58" w:rsidRDefault="00CD0F58" w:rsidP="00BF4A1B">
      <w:pPr>
        <w:rPr>
          <w:color w:val="0000FF" w:themeColor="background1"/>
        </w:rPr>
      </w:pPr>
    </w:p>
    <w:p w:rsidR="00CD0F58" w:rsidRPr="00CD0F58" w:rsidRDefault="00F74B2E" w:rsidP="00F74B2E">
      <w:pPr>
        <w:tabs>
          <w:tab w:val="left" w:pos="0"/>
          <w:tab w:val="left" w:pos="5947"/>
          <w:tab w:val="right" w:pos="7200"/>
        </w:tabs>
        <w:rPr>
          <w:rFonts w:asciiTheme="minorHAnsi" w:hAnsiTheme="minorHAnsi"/>
          <w:kern w:val="0"/>
          <w:szCs w:val="22"/>
        </w:rPr>
      </w:pPr>
      <w:r>
        <w:rPr>
          <w:rFonts w:asciiTheme="minorHAnsi" w:hAnsiTheme="minorHAnsi"/>
          <w:kern w:val="0"/>
          <w:szCs w:val="22"/>
        </w:rPr>
        <w:t>The third quarter was a</w:t>
      </w:r>
      <w:r w:rsidR="00CD0F58" w:rsidRPr="00CD0F58">
        <w:rPr>
          <w:rFonts w:asciiTheme="minorHAnsi" w:hAnsiTheme="minorHAnsi"/>
          <w:kern w:val="0"/>
          <w:szCs w:val="22"/>
        </w:rPr>
        <w:t xml:space="preserve"> good quarter, </w:t>
      </w:r>
      <w:r>
        <w:rPr>
          <w:rFonts w:asciiTheme="minorHAnsi" w:hAnsiTheme="minorHAnsi"/>
          <w:kern w:val="0"/>
          <w:szCs w:val="22"/>
        </w:rPr>
        <w:t xml:space="preserve">with the portfolio </w:t>
      </w:r>
      <w:r w:rsidR="00CD0F58" w:rsidRPr="00CD0F58">
        <w:rPr>
          <w:rFonts w:asciiTheme="minorHAnsi" w:hAnsiTheme="minorHAnsi"/>
          <w:kern w:val="0"/>
          <w:szCs w:val="22"/>
        </w:rPr>
        <w:t>up 3.5%</w:t>
      </w:r>
      <w:r>
        <w:rPr>
          <w:rFonts w:asciiTheme="minorHAnsi" w:hAnsiTheme="minorHAnsi"/>
          <w:kern w:val="0"/>
          <w:szCs w:val="22"/>
        </w:rPr>
        <w:t xml:space="preserve">.  The </w:t>
      </w:r>
      <w:r w:rsidR="00CD0F58" w:rsidRPr="00CD0F58">
        <w:rPr>
          <w:rFonts w:asciiTheme="minorHAnsi" w:hAnsiTheme="minorHAnsi"/>
          <w:kern w:val="0"/>
          <w:szCs w:val="22"/>
        </w:rPr>
        <w:t>market value of the port</w:t>
      </w:r>
      <w:r>
        <w:rPr>
          <w:rFonts w:asciiTheme="minorHAnsi" w:hAnsiTheme="minorHAnsi"/>
          <w:kern w:val="0"/>
          <w:szCs w:val="22"/>
        </w:rPr>
        <w:t>folio has</w:t>
      </w:r>
      <w:r w:rsidR="00CD0F58" w:rsidRPr="00CD0F58">
        <w:rPr>
          <w:rFonts w:asciiTheme="minorHAnsi" w:hAnsiTheme="minorHAnsi"/>
          <w:kern w:val="0"/>
          <w:szCs w:val="22"/>
        </w:rPr>
        <w:t xml:space="preserve"> decreased slightly </w:t>
      </w:r>
      <w:r>
        <w:rPr>
          <w:rFonts w:asciiTheme="minorHAnsi" w:hAnsiTheme="minorHAnsi"/>
          <w:kern w:val="0"/>
          <w:szCs w:val="22"/>
        </w:rPr>
        <w:t xml:space="preserve">year-to-date </w:t>
      </w:r>
      <w:r w:rsidR="00CD0F58" w:rsidRPr="00CD0F58">
        <w:rPr>
          <w:rFonts w:asciiTheme="minorHAnsi" w:hAnsiTheme="minorHAnsi"/>
          <w:kern w:val="0"/>
          <w:szCs w:val="22"/>
        </w:rPr>
        <w:t>due to lower returns and the amount of withdrawals</w:t>
      </w:r>
      <w:r>
        <w:rPr>
          <w:rFonts w:asciiTheme="minorHAnsi" w:hAnsiTheme="minorHAnsi"/>
          <w:kern w:val="0"/>
          <w:szCs w:val="22"/>
        </w:rPr>
        <w:t xml:space="preserve">.  Mr. Burger reported that we seem to be on target in most of our </w:t>
      </w:r>
      <w:r w:rsidR="00CD0F58" w:rsidRPr="00CD0F58">
        <w:rPr>
          <w:rFonts w:asciiTheme="minorHAnsi" w:hAnsiTheme="minorHAnsi"/>
          <w:kern w:val="0"/>
          <w:szCs w:val="22"/>
        </w:rPr>
        <w:t>asset classes</w:t>
      </w:r>
      <w:r>
        <w:rPr>
          <w:rFonts w:asciiTheme="minorHAnsi" w:hAnsiTheme="minorHAnsi"/>
          <w:kern w:val="0"/>
          <w:szCs w:val="22"/>
        </w:rPr>
        <w:t xml:space="preserve">, though Graystone has been in contact with </w:t>
      </w:r>
      <w:r w:rsidR="00CD0F58" w:rsidRPr="00CD0F58">
        <w:rPr>
          <w:rFonts w:asciiTheme="minorHAnsi" w:hAnsiTheme="minorHAnsi"/>
          <w:kern w:val="0"/>
          <w:szCs w:val="22"/>
        </w:rPr>
        <w:t xml:space="preserve">Loomis </w:t>
      </w:r>
      <w:r>
        <w:rPr>
          <w:rFonts w:asciiTheme="minorHAnsi" w:hAnsiTheme="minorHAnsi"/>
          <w:kern w:val="0"/>
          <w:szCs w:val="22"/>
        </w:rPr>
        <w:t xml:space="preserve">Sayles </w:t>
      </w:r>
      <w:r w:rsidR="00CD0F58" w:rsidRPr="00CD0F58">
        <w:rPr>
          <w:rFonts w:asciiTheme="minorHAnsi" w:hAnsiTheme="minorHAnsi"/>
          <w:kern w:val="0"/>
          <w:szCs w:val="22"/>
        </w:rPr>
        <w:t>because of their continued underperformance vs. the benchmark</w:t>
      </w:r>
      <w:r>
        <w:rPr>
          <w:rFonts w:asciiTheme="minorHAnsi" w:hAnsiTheme="minorHAnsi"/>
          <w:kern w:val="0"/>
          <w:szCs w:val="22"/>
        </w:rPr>
        <w:t>.  The emerging markets class continues its downward trend for the year, but on the bright side F</w:t>
      </w:r>
      <w:r w:rsidR="00CD0F58" w:rsidRPr="00CD0F58">
        <w:rPr>
          <w:rFonts w:asciiTheme="minorHAnsi" w:hAnsiTheme="minorHAnsi"/>
          <w:kern w:val="0"/>
          <w:szCs w:val="22"/>
        </w:rPr>
        <w:t xml:space="preserve">ranklin </w:t>
      </w:r>
      <w:r>
        <w:rPr>
          <w:rFonts w:asciiTheme="minorHAnsi" w:hAnsiTheme="minorHAnsi"/>
          <w:kern w:val="0"/>
          <w:szCs w:val="22"/>
        </w:rPr>
        <w:t xml:space="preserve">Templeton </w:t>
      </w:r>
      <w:r w:rsidR="00CD0F58" w:rsidRPr="00CD0F58">
        <w:rPr>
          <w:rFonts w:asciiTheme="minorHAnsi" w:hAnsiTheme="minorHAnsi"/>
          <w:kern w:val="0"/>
          <w:szCs w:val="22"/>
        </w:rPr>
        <w:t xml:space="preserve">did a good job </w:t>
      </w:r>
      <w:r>
        <w:rPr>
          <w:rFonts w:asciiTheme="minorHAnsi" w:hAnsiTheme="minorHAnsi"/>
          <w:kern w:val="0"/>
          <w:szCs w:val="22"/>
        </w:rPr>
        <w:t xml:space="preserve">with </w:t>
      </w:r>
      <w:r w:rsidR="00CD0F58" w:rsidRPr="00CD0F58">
        <w:rPr>
          <w:rFonts w:asciiTheme="minorHAnsi" w:hAnsiTheme="minorHAnsi"/>
          <w:kern w:val="0"/>
          <w:szCs w:val="22"/>
        </w:rPr>
        <w:t>their short term overweight for the quarter</w:t>
      </w:r>
      <w:r>
        <w:rPr>
          <w:rFonts w:asciiTheme="minorHAnsi" w:hAnsiTheme="minorHAnsi"/>
          <w:kern w:val="0"/>
          <w:szCs w:val="22"/>
        </w:rPr>
        <w:t xml:space="preserve"> ending in positive territory.  C</w:t>
      </w:r>
      <w:r w:rsidR="00CD0F58" w:rsidRPr="00CD0F58">
        <w:rPr>
          <w:rFonts w:asciiTheme="minorHAnsi" w:hAnsiTheme="minorHAnsi"/>
          <w:kern w:val="0"/>
          <w:szCs w:val="22"/>
        </w:rPr>
        <w:t>ushing</w:t>
      </w:r>
      <w:r>
        <w:rPr>
          <w:rFonts w:asciiTheme="minorHAnsi" w:hAnsiTheme="minorHAnsi"/>
          <w:kern w:val="0"/>
          <w:szCs w:val="22"/>
        </w:rPr>
        <w:t xml:space="preserve"> MLP is</w:t>
      </w:r>
      <w:r w:rsidR="00CD0F58" w:rsidRPr="00CD0F58">
        <w:rPr>
          <w:rFonts w:asciiTheme="minorHAnsi" w:hAnsiTheme="minorHAnsi"/>
          <w:kern w:val="0"/>
          <w:szCs w:val="22"/>
        </w:rPr>
        <w:t xml:space="preserve"> down 2.3%</w:t>
      </w:r>
      <w:r>
        <w:rPr>
          <w:rFonts w:asciiTheme="minorHAnsi" w:hAnsiTheme="minorHAnsi"/>
          <w:kern w:val="0"/>
          <w:szCs w:val="22"/>
        </w:rPr>
        <w:t xml:space="preserve"> </w:t>
      </w:r>
      <w:r w:rsidR="00172B31">
        <w:rPr>
          <w:rFonts w:asciiTheme="minorHAnsi" w:hAnsiTheme="minorHAnsi"/>
          <w:kern w:val="0"/>
          <w:szCs w:val="22"/>
        </w:rPr>
        <w:t>since its inception in early September.</w:t>
      </w:r>
    </w:p>
    <w:p w:rsidR="00CD0F58" w:rsidRPr="00CD0F58" w:rsidRDefault="00CD0F58" w:rsidP="00F74B2E">
      <w:pPr>
        <w:tabs>
          <w:tab w:val="left" w:pos="0"/>
          <w:tab w:val="left" w:pos="5947"/>
          <w:tab w:val="right" w:pos="7200"/>
        </w:tabs>
        <w:rPr>
          <w:rFonts w:asciiTheme="minorHAnsi" w:hAnsiTheme="minorHAnsi"/>
          <w:kern w:val="0"/>
          <w:szCs w:val="22"/>
        </w:rPr>
      </w:pPr>
    </w:p>
    <w:p w:rsidR="00CD0F58" w:rsidRPr="00CD0F58" w:rsidRDefault="00172B31" w:rsidP="00F74B2E">
      <w:pPr>
        <w:tabs>
          <w:tab w:val="left" w:pos="0"/>
          <w:tab w:val="left" w:pos="5947"/>
          <w:tab w:val="right" w:pos="7200"/>
        </w:tabs>
        <w:rPr>
          <w:rFonts w:asciiTheme="minorHAnsi" w:hAnsiTheme="minorHAnsi"/>
          <w:kern w:val="0"/>
          <w:szCs w:val="22"/>
        </w:rPr>
      </w:pPr>
      <w:r>
        <w:rPr>
          <w:rFonts w:asciiTheme="minorHAnsi" w:hAnsiTheme="minorHAnsi"/>
          <w:kern w:val="0"/>
          <w:szCs w:val="22"/>
        </w:rPr>
        <w:t>Chairperson Farrell asked if there was</w:t>
      </w:r>
      <w:r w:rsidR="00CD0F58" w:rsidRPr="00CD0F58">
        <w:rPr>
          <w:rFonts w:asciiTheme="minorHAnsi" w:hAnsiTheme="minorHAnsi"/>
          <w:kern w:val="0"/>
          <w:szCs w:val="22"/>
        </w:rPr>
        <w:t xml:space="preserve"> any concern </w:t>
      </w:r>
      <w:r>
        <w:rPr>
          <w:rFonts w:asciiTheme="minorHAnsi" w:hAnsiTheme="minorHAnsi"/>
          <w:kern w:val="0"/>
          <w:szCs w:val="22"/>
        </w:rPr>
        <w:t>with the continued underperformance by</w:t>
      </w:r>
      <w:r w:rsidR="00CD0F58" w:rsidRPr="00CD0F58">
        <w:rPr>
          <w:rFonts w:asciiTheme="minorHAnsi" w:hAnsiTheme="minorHAnsi"/>
          <w:kern w:val="0"/>
          <w:szCs w:val="22"/>
        </w:rPr>
        <w:t xml:space="preserve"> Causeway</w:t>
      </w:r>
      <w:r>
        <w:rPr>
          <w:rFonts w:asciiTheme="minorHAnsi" w:hAnsiTheme="minorHAnsi"/>
          <w:kern w:val="0"/>
          <w:szCs w:val="22"/>
        </w:rPr>
        <w:t xml:space="preserve"> this year.</w:t>
      </w:r>
      <w:r w:rsidR="00CD0F58" w:rsidRPr="00CD0F58">
        <w:rPr>
          <w:rFonts w:asciiTheme="minorHAnsi" w:hAnsiTheme="minorHAnsi"/>
          <w:kern w:val="0"/>
          <w:szCs w:val="22"/>
        </w:rPr>
        <w:t xml:space="preserve">  </w:t>
      </w:r>
      <w:r>
        <w:rPr>
          <w:rFonts w:asciiTheme="minorHAnsi" w:hAnsiTheme="minorHAnsi"/>
          <w:kern w:val="0"/>
          <w:szCs w:val="22"/>
        </w:rPr>
        <w:t xml:space="preserve">Mr. Burger indicated that Causeway still remains </w:t>
      </w:r>
      <w:r w:rsidR="00CD0F58" w:rsidRPr="00CD0F58">
        <w:rPr>
          <w:rFonts w:asciiTheme="minorHAnsi" w:hAnsiTheme="minorHAnsi"/>
          <w:kern w:val="0"/>
          <w:szCs w:val="22"/>
        </w:rPr>
        <w:t xml:space="preserve">a good </w:t>
      </w:r>
      <w:r w:rsidR="00F95A7A" w:rsidRPr="00CD0F58">
        <w:rPr>
          <w:rFonts w:asciiTheme="minorHAnsi" w:hAnsiTheme="minorHAnsi"/>
          <w:kern w:val="0"/>
          <w:szCs w:val="22"/>
        </w:rPr>
        <w:t>fund;</w:t>
      </w:r>
      <w:r>
        <w:rPr>
          <w:rFonts w:asciiTheme="minorHAnsi" w:hAnsiTheme="minorHAnsi"/>
          <w:kern w:val="0"/>
          <w:szCs w:val="22"/>
        </w:rPr>
        <w:t xml:space="preserve"> it’s</w:t>
      </w:r>
      <w:r w:rsidR="00CD0F58" w:rsidRPr="00CD0F58">
        <w:rPr>
          <w:rFonts w:asciiTheme="minorHAnsi" w:hAnsiTheme="minorHAnsi"/>
          <w:kern w:val="0"/>
          <w:szCs w:val="22"/>
        </w:rPr>
        <w:t xml:space="preserve"> just a tough time for value</w:t>
      </w:r>
      <w:r>
        <w:rPr>
          <w:rFonts w:asciiTheme="minorHAnsi" w:hAnsiTheme="minorHAnsi"/>
          <w:kern w:val="0"/>
          <w:szCs w:val="22"/>
        </w:rPr>
        <w:t xml:space="preserve"> managers.  He went on to say that the changes made to the portfolio in August had a significant positive impact</w:t>
      </w:r>
      <w:r w:rsidR="00B95F26">
        <w:rPr>
          <w:rFonts w:asciiTheme="minorHAnsi" w:hAnsiTheme="minorHAnsi"/>
          <w:kern w:val="0"/>
          <w:szCs w:val="22"/>
        </w:rPr>
        <w:t xml:space="preserve"> and he had no further recommendations for changes today.</w:t>
      </w:r>
    </w:p>
    <w:p w:rsidR="00CD0F58" w:rsidRPr="00CD0F58" w:rsidRDefault="00CD0F58" w:rsidP="00F74B2E">
      <w:pPr>
        <w:tabs>
          <w:tab w:val="left" w:pos="0"/>
          <w:tab w:val="left" w:pos="5947"/>
          <w:tab w:val="right" w:pos="7200"/>
        </w:tabs>
        <w:rPr>
          <w:rFonts w:asciiTheme="minorHAnsi" w:hAnsiTheme="minorHAnsi"/>
          <w:kern w:val="0"/>
          <w:szCs w:val="22"/>
        </w:rPr>
      </w:pPr>
    </w:p>
    <w:p w:rsidR="00BF4A1B" w:rsidRPr="00AD7AB0" w:rsidRDefault="00BF4A1B" w:rsidP="00BF4A1B">
      <w:pPr>
        <w:keepNext/>
        <w:keepLines/>
        <w:jc w:val="center"/>
        <w:outlineLvl w:val="7"/>
        <w:rPr>
          <w:rFonts w:asciiTheme="majorHAnsi" w:eastAsiaTheme="majorEastAsia" w:hAnsiTheme="majorHAnsi" w:cstheme="majorBidi"/>
          <w:b/>
        </w:rPr>
      </w:pPr>
      <w:r w:rsidRPr="00AD7AB0">
        <w:rPr>
          <w:rFonts w:asciiTheme="majorHAnsi" w:eastAsiaTheme="majorEastAsia" w:hAnsiTheme="majorHAnsi" w:cstheme="majorBidi"/>
          <w:b/>
        </w:rPr>
        <w:t xml:space="preserve">Total Portfolio Performance Summary for Period Ending </w:t>
      </w:r>
      <w:r>
        <w:rPr>
          <w:rFonts w:asciiTheme="majorHAnsi" w:eastAsiaTheme="majorEastAsia" w:hAnsiTheme="majorHAnsi" w:cstheme="majorBidi"/>
          <w:b/>
        </w:rPr>
        <w:t>0</w:t>
      </w:r>
      <w:r>
        <w:rPr>
          <w:rFonts w:asciiTheme="majorHAnsi" w:eastAsiaTheme="majorEastAsia" w:hAnsiTheme="majorHAnsi" w:cstheme="majorBidi"/>
          <w:b/>
        </w:rPr>
        <w:t>9</w:t>
      </w:r>
      <w:r>
        <w:rPr>
          <w:rFonts w:asciiTheme="majorHAnsi" w:eastAsiaTheme="majorEastAsia" w:hAnsiTheme="majorHAnsi" w:cstheme="majorBidi"/>
          <w:b/>
        </w:rPr>
        <w:t>/3</w:t>
      </w:r>
      <w:r>
        <w:rPr>
          <w:rFonts w:asciiTheme="majorHAnsi" w:eastAsiaTheme="majorEastAsia" w:hAnsiTheme="majorHAnsi" w:cstheme="majorBidi"/>
          <w:b/>
        </w:rPr>
        <w:t>0</w:t>
      </w:r>
      <w:r>
        <w:rPr>
          <w:rFonts w:asciiTheme="majorHAnsi" w:eastAsiaTheme="majorEastAsia" w:hAnsiTheme="majorHAnsi" w:cstheme="majorBidi"/>
          <w:b/>
        </w:rPr>
        <w:t>/2018</w:t>
      </w:r>
    </w:p>
    <w:p w:rsidR="00BF4A1B" w:rsidRPr="00AD7AB0" w:rsidRDefault="00BF4A1B" w:rsidP="00BF4A1B">
      <w:pPr>
        <w:jc w:val="both"/>
      </w:pPr>
      <w:r w:rsidRPr="00AD7AB0">
        <w:t xml:space="preserve"> </w:t>
      </w:r>
    </w:p>
    <w:tbl>
      <w:tblPr>
        <w:tblStyle w:val="TableGrid"/>
        <w:tblW w:w="7776" w:type="dxa"/>
        <w:jc w:val="center"/>
        <w:tblInd w:w="108" w:type="dxa"/>
        <w:tblLook w:val="04A0" w:firstRow="1" w:lastRow="0" w:firstColumn="1" w:lastColumn="0" w:noHBand="0" w:noVBand="1"/>
      </w:tblPr>
      <w:tblGrid>
        <w:gridCol w:w="3888"/>
        <w:gridCol w:w="1944"/>
        <w:gridCol w:w="1944"/>
      </w:tblGrid>
      <w:tr w:rsidR="00BF4A1B" w:rsidRPr="00AD7AB0" w:rsidTr="00E60EAF">
        <w:trPr>
          <w:jc w:val="center"/>
        </w:trPr>
        <w:tc>
          <w:tcPr>
            <w:tcW w:w="3888" w:type="dxa"/>
            <w:tcBorders>
              <w:bottom w:val="single" w:sz="4" w:space="0" w:color="auto"/>
            </w:tcBorders>
          </w:tcPr>
          <w:p w:rsidR="00BF4A1B" w:rsidRPr="00AD7AB0" w:rsidRDefault="00BF4A1B" w:rsidP="00E60EAF"/>
        </w:tc>
        <w:tc>
          <w:tcPr>
            <w:tcW w:w="1944" w:type="dxa"/>
            <w:tcBorders>
              <w:bottom w:val="single" w:sz="4" w:space="0" w:color="auto"/>
            </w:tcBorders>
            <w:vAlign w:val="center"/>
          </w:tcPr>
          <w:p w:rsidR="00BF4A1B" w:rsidRPr="00AD7AB0" w:rsidRDefault="00BF4A1B" w:rsidP="00E60EAF">
            <w:pPr>
              <w:jc w:val="center"/>
              <w:rPr>
                <w:b/>
                <w:bCs/>
                <w:sz w:val="19"/>
                <w:szCs w:val="19"/>
              </w:rPr>
            </w:pPr>
            <w:r w:rsidRPr="00AD7AB0">
              <w:rPr>
                <w:b/>
                <w:bCs/>
                <w:sz w:val="19"/>
                <w:szCs w:val="19"/>
              </w:rPr>
              <w:t>QUARTER</w:t>
            </w:r>
          </w:p>
          <w:p w:rsidR="00BF4A1B" w:rsidRPr="00AD7AB0" w:rsidRDefault="00BF4A1B" w:rsidP="00E60EAF">
            <w:pPr>
              <w:jc w:val="center"/>
            </w:pPr>
            <w:r w:rsidRPr="00AD7AB0">
              <w:rPr>
                <w:b/>
                <w:bCs/>
                <w:sz w:val="19"/>
                <w:szCs w:val="19"/>
              </w:rPr>
              <w:t>TO DATE</w:t>
            </w:r>
          </w:p>
        </w:tc>
        <w:tc>
          <w:tcPr>
            <w:tcW w:w="1944" w:type="dxa"/>
            <w:tcBorders>
              <w:bottom w:val="single" w:sz="4" w:space="0" w:color="auto"/>
            </w:tcBorders>
            <w:vAlign w:val="center"/>
          </w:tcPr>
          <w:p w:rsidR="00BF4A1B" w:rsidRPr="00A65FB2" w:rsidRDefault="00BF4A1B" w:rsidP="00E60EAF">
            <w:pPr>
              <w:jc w:val="center"/>
              <w:rPr>
                <w:b/>
                <w:bCs/>
                <w:sz w:val="19"/>
                <w:szCs w:val="19"/>
              </w:rPr>
            </w:pPr>
            <w:r w:rsidRPr="00A65FB2">
              <w:rPr>
                <w:b/>
                <w:bCs/>
                <w:sz w:val="19"/>
                <w:szCs w:val="19"/>
              </w:rPr>
              <w:t>1 YEAR</w:t>
            </w:r>
          </w:p>
        </w:tc>
      </w:tr>
      <w:tr w:rsidR="00BF4A1B" w:rsidRPr="00AD7AB0" w:rsidTr="00E60EAF">
        <w:trPr>
          <w:trHeight w:val="288"/>
          <w:jc w:val="center"/>
        </w:trPr>
        <w:tc>
          <w:tcPr>
            <w:tcW w:w="3888" w:type="dxa"/>
            <w:tcBorders>
              <w:bottom w:val="nil"/>
            </w:tcBorders>
            <w:vAlign w:val="center"/>
          </w:tcPr>
          <w:p w:rsidR="00BF4A1B" w:rsidRPr="00AD7AB0" w:rsidRDefault="00BF4A1B" w:rsidP="00E60EAF">
            <w:pPr>
              <w:rPr>
                <w:b/>
                <w:bCs/>
                <w:sz w:val="19"/>
                <w:szCs w:val="19"/>
              </w:rPr>
            </w:pPr>
            <w:r w:rsidRPr="00AD7AB0">
              <w:rPr>
                <w:b/>
                <w:bCs/>
                <w:sz w:val="19"/>
                <w:szCs w:val="19"/>
              </w:rPr>
              <w:t>BEGINNING TOTAL VALUE</w:t>
            </w:r>
          </w:p>
        </w:tc>
        <w:tc>
          <w:tcPr>
            <w:tcW w:w="1944" w:type="dxa"/>
            <w:tcBorders>
              <w:bottom w:val="nil"/>
            </w:tcBorders>
            <w:vAlign w:val="center"/>
          </w:tcPr>
          <w:p w:rsidR="00BF4A1B" w:rsidRPr="00AD7AB0" w:rsidRDefault="00BF4A1B" w:rsidP="00E60EAF">
            <w:pPr>
              <w:jc w:val="right"/>
              <w:rPr>
                <w:sz w:val="19"/>
                <w:szCs w:val="19"/>
              </w:rPr>
            </w:pPr>
            <w:r>
              <w:rPr>
                <w:bCs/>
                <w:sz w:val="19"/>
                <w:szCs w:val="19"/>
              </w:rPr>
              <w:t>34,434,597</w:t>
            </w:r>
          </w:p>
        </w:tc>
        <w:tc>
          <w:tcPr>
            <w:tcW w:w="1944" w:type="dxa"/>
            <w:tcBorders>
              <w:bottom w:val="nil"/>
            </w:tcBorders>
            <w:vAlign w:val="center"/>
          </w:tcPr>
          <w:p w:rsidR="00BF4A1B" w:rsidRPr="00A65FB2" w:rsidRDefault="00F608FF" w:rsidP="00E60EAF">
            <w:pPr>
              <w:jc w:val="right"/>
              <w:rPr>
                <w:sz w:val="19"/>
                <w:szCs w:val="19"/>
              </w:rPr>
            </w:pPr>
            <w:r w:rsidRPr="00A65FB2">
              <w:rPr>
                <w:sz w:val="19"/>
                <w:szCs w:val="19"/>
              </w:rPr>
              <w:t>34,377,861</w:t>
            </w:r>
          </w:p>
        </w:tc>
      </w:tr>
      <w:tr w:rsidR="00BF4A1B" w:rsidRPr="00AD7AB0" w:rsidTr="00E60EAF">
        <w:trPr>
          <w:trHeight w:val="288"/>
          <w:jc w:val="center"/>
        </w:trPr>
        <w:tc>
          <w:tcPr>
            <w:tcW w:w="3888" w:type="dxa"/>
            <w:tcBorders>
              <w:top w:val="nil"/>
              <w:bottom w:val="nil"/>
            </w:tcBorders>
            <w:vAlign w:val="center"/>
          </w:tcPr>
          <w:p w:rsidR="00BF4A1B" w:rsidRPr="00AD7AB0" w:rsidRDefault="00BF4A1B" w:rsidP="00E60EAF">
            <w:pPr>
              <w:rPr>
                <w:sz w:val="19"/>
                <w:szCs w:val="19"/>
              </w:rPr>
            </w:pPr>
            <w:r w:rsidRPr="00AD7AB0">
              <w:rPr>
                <w:b/>
                <w:bCs/>
                <w:sz w:val="19"/>
                <w:szCs w:val="19"/>
              </w:rPr>
              <w:t>NET CONTRIBUTIONS/WITHDRAWALS</w:t>
            </w:r>
          </w:p>
        </w:tc>
        <w:tc>
          <w:tcPr>
            <w:tcW w:w="1944" w:type="dxa"/>
            <w:tcBorders>
              <w:top w:val="nil"/>
              <w:bottom w:val="nil"/>
            </w:tcBorders>
            <w:vAlign w:val="center"/>
          </w:tcPr>
          <w:p w:rsidR="00BF4A1B" w:rsidRPr="00AD7AB0" w:rsidRDefault="00BF4A1B" w:rsidP="00BF4A1B">
            <w:pPr>
              <w:jc w:val="right"/>
              <w:rPr>
                <w:sz w:val="19"/>
                <w:szCs w:val="19"/>
              </w:rPr>
            </w:pPr>
            <w:r w:rsidRPr="00AD7AB0">
              <w:rPr>
                <w:sz w:val="19"/>
                <w:szCs w:val="19"/>
              </w:rPr>
              <w:t>-</w:t>
            </w:r>
            <w:r>
              <w:rPr>
                <w:sz w:val="19"/>
                <w:szCs w:val="19"/>
              </w:rPr>
              <w:t>399,698</w:t>
            </w:r>
          </w:p>
        </w:tc>
        <w:tc>
          <w:tcPr>
            <w:tcW w:w="1944" w:type="dxa"/>
            <w:tcBorders>
              <w:top w:val="nil"/>
              <w:bottom w:val="nil"/>
            </w:tcBorders>
            <w:vAlign w:val="center"/>
          </w:tcPr>
          <w:p w:rsidR="00BF4A1B" w:rsidRPr="00A65FB2" w:rsidRDefault="00BF4A1B" w:rsidP="00A65FB2">
            <w:pPr>
              <w:jc w:val="right"/>
              <w:rPr>
                <w:sz w:val="19"/>
                <w:szCs w:val="19"/>
              </w:rPr>
            </w:pPr>
            <w:r w:rsidRPr="00A65FB2">
              <w:rPr>
                <w:sz w:val="19"/>
                <w:szCs w:val="19"/>
              </w:rPr>
              <w:t>-</w:t>
            </w:r>
            <w:r w:rsidR="00A65FB2" w:rsidRPr="00A65FB2">
              <w:rPr>
                <w:sz w:val="19"/>
                <w:szCs w:val="19"/>
              </w:rPr>
              <w:t>1,799,905</w:t>
            </w:r>
          </w:p>
        </w:tc>
      </w:tr>
      <w:tr w:rsidR="00BF4A1B" w:rsidRPr="00AD7AB0" w:rsidTr="00E60EAF">
        <w:trPr>
          <w:trHeight w:val="288"/>
          <w:jc w:val="center"/>
        </w:trPr>
        <w:tc>
          <w:tcPr>
            <w:tcW w:w="3888" w:type="dxa"/>
            <w:tcBorders>
              <w:top w:val="nil"/>
            </w:tcBorders>
            <w:vAlign w:val="center"/>
          </w:tcPr>
          <w:p w:rsidR="00BF4A1B" w:rsidRPr="00AD7AB0" w:rsidRDefault="00BF4A1B" w:rsidP="00E60EAF">
            <w:pPr>
              <w:rPr>
                <w:sz w:val="19"/>
                <w:szCs w:val="19"/>
              </w:rPr>
            </w:pPr>
            <w:r w:rsidRPr="00AD7AB0">
              <w:rPr>
                <w:b/>
                <w:bCs/>
                <w:sz w:val="19"/>
                <w:szCs w:val="19"/>
              </w:rPr>
              <w:t>INVESTMENT EARNINGS</w:t>
            </w:r>
          </w:p>
        </w:tc>
        <w:tc>
          <w:tcPr>
            <w:tcW w:w="1944" w:type="dxa"/>
            <w:tcBorders>
              <w:top w:val="nil"/>
            </w:tcBorders>
            <w:vAlign w:val="center"/>
          </w:tcPr>
          <w:p w:rsidR="00BF4A1B" w:rsidRPr="00AD7AB0" w:rsidRDefault="00BF4A1B" w:rsidP="00E60EAF">
            <w:pPr>
              <w:jc w:val="right"/>
              <w:rPr>
                <w:sz w:val="19"/>
                <w:szCs w:val="19"/>
              </w:rPr>
            </w:pPr>
            <w:r>
              <w:rPr>
                <w:bCs/>
                <w:sz w:val="19"/>
                <w:szCs w:val="19"/>
              </w:rPr>
              <w:t>1,181,025</w:t>
            </w:r>
          </w:p>
        </w:tc>
        <w:tc>
          <w:tcPr>
            <w:tcW w:w="1944" w:type="dxa"/>
            <w:tcBorders>
              <w:top w:val="nil"/>
            </w:tcBorders>
            <w:vAlign w:val="center"/>
          </w:tcPr>
          <w:p w:rsidR="00BF4A1B" w:rsidRPr="00A65FB2" w:rsidRDefault="00A65FB2" w:rsidP="00E60EAF">
            <w:pPr>
              <w:jc w:val="right"/>
              <w:rPr>
                <w:sz w:val="19"/>
                <w:szCs w:val="19"/>
              </w:rPr>
            </w:pPr>
            <w:r w:rsidRPr="00A65FB2">
              <w:rPr>
                <w:sz w:val="19"/>
                <w:szCs w:val="19"/>
              </w:rPr>
              <w:t>2,637,968</w:t>
            </w:r>
          </w:p>
        </w:tc>
      </w:tr>
      <w:tr w:rsidR="00BF4A1B" w:rsidRPr="00AD7AB0" w:rsidTr="00E60EAF">
        <w:trPr>
          <w:trHeight w:val="360"/>
          <w:jc w:val="center"/>
        </w:trPr>
        <w:tc>
          <w:tcPr>
            <w:tcW w:w="3888" w:type="dxa"/>
            <w:vAlign w:val="center"/>
          </w:tcPr>
          <w:p w:rsidR="00BF4A1B" w:rsidRPr="00AD7AB0" w:rsidRDefault="00BF4A1B" w:rsidP="00E60EAF">
            <w:pPr>
              <w:rPr>
                <w:sz w:val="19"/>
                <w:szCs w:val="19"/>
              </w:rPr>
            </w:pPr>
            <w:r w:rsidRPr="00AD7AB0">
              <w:rPr>
                <w:b/>
                <w:bCs/>
                <w:sz w:val="19"/>
                <w:szCs w:val="19"/>
              </w:rPr>
              <w:t>ENDING TOTAL VALUE</w:t>
            </w:r>
          </w:p>
        </w:tc>
        <w:tc>
          <w:tcPr>
            <w:tcW w:w="1944" w:type="dxa"/>
            <w:vAlign w:val="center"/>
          </w:tcPr>
          <w:p w:rsidR="00BF4A1B" w:rsidRPr="00AD7AB0" w:rsidRDefault="00BF4A1B" w:rsidP="00E60EAF">
            <w:pPr>
              <w:jc w:val="right"/>
              <w:rPr>
                <w:sz w:val="19"/>
                <w:szCs w:val="19"/>
              </w:rPr>
            </w:pPr>
            <w:r>
              <w:rPr>
                <w:bCs/>
                <w:sz w:val="19"/>
                <w:szCs w:val="19"/>
              </w:rPr>
              <w:t>35,215,924</w:t>
            </w:r>
          </w:p>
        </w:tc>
        <w:tc>
          <w:tcPr>
            <w:tcW w:w="1944" w:type="dxa"/>
            <w:vAlign w:val="center"/>
          </w:tcPr>
          <w:p w:rsidR="00BF4A1B" w:rsidRPr="00A65FB2" w:rsidRDefault="00A65FB2" w:rsidP="00E60EAF">
            <w:pPr>
              <w:jc w:val="right"/>
              <w:rPr>
                <w:sz w:val="19"/>
                <w:szCs w:val="19"/>
              </w:rPr>
            </w:pPr>
            <w:r w:rsidRPr="00A65FB2">
              <w:rPr>
                <w:bCs/>
                <w:sz w:val="19"/>
                <w:szCs w:val="19"/>
              </w:rPr>
              <w:t>35,215,924</w:t>
            </w:r>
          </w:p>
        </w:tc>
      </w:tr>
    </w:tbl>
    <w:p w:rsidR="00BF4A1B" w:rsidRDefault="00BF4A1B" w:rsidP="00BF4A1B">
      <w:pPr>
        <w:rPr>
          <w:color w:val="0000FF"/>
        </w:rPr>
      </w:pPr>
    </w:p>
    <w:p w:rsidR="009A580A" w:rsidRDefault="009A580A" w:rsidP="00382E48">
      <w:pPr>
        <w:pStyle w:val="Heading1"/>
      </w:pPr>
      <w:r w:rsidRPr="009A580A">
        <w:t>CITIZENS COMMENT:</w:t>
      </w:r>
    </w:p>
    <w:p w:rsidR="00993B2E" w:rsidRDefault="00993B2E" w:rsidP="004806E1">
      <w:pPr>
        <w:rPr>
          <w:b/>
          <w:u w:val="single"/>
        </w:rPr>
      </w:pPr>
    </w:p>
    <w:p w:rsidR="00993B2E" w:rsidRDefault="00993B2E" w:rsidP="004806E1">
      <w:pPr>
        <w:tabs>
          <w:tab w:val="left" w:pos="3460"/>
        </w:tabs>
      </w:pPr>
      <w:r>
        <w:t>There were no citizen comments.</w:t>
      </w:r>
      <w:r w:rsidR="00F2339A">
        <w:tab/>
      </w:r>
    </w:p>
    <w:p w:rsidR="00F2339A" w:rsidRDefault="00F2339A" w:rsidP="004806E1">
      <w:pPr>
        <w:tabs>
          <w:tab w:val="left" w:pos="3460"/>
        </w:tabs>
      </w:pPr>
    </w:p>
    <w:p w:rsidR="008C41B3" w:rsidRDefault="00A3556E" w:rsidP="00382E48">
      <w:pPr>
        <w:pStyle w:val="Heading1"/>
      </w:pPr>
      <w:r w:rsidRPr="00335107">
        <w:t>NEXT BOARD MEETING:</w:t>
      </w:r>
    </w:p>
    <w:p w:rsidR="008C41B3" w:rsidRDefault="008C41B3" w:rsidP="004806E1">
      <w:pPr>
        <w:rPr>
          <w:b/>
        </w:rPr>
      </w:pPr>
    </w:p>
    <w:p w:rsidR="00A3556E" w:rsidRPr="00581747" w:rsidRDefault="002F7B96" w:rsidP="004806E1">
      <w:r>
        <w:t xml:space="preserve">The next board meeting is scheduled </w:t>
      </w:r>
      <w:r w:rsidR="00A2763F">
        <w:t xml:space="preserve">for </w:t>
      </w:r>
      <w:sdt>
        <w:sdtPr>
          <w:id w:val="756484436"/>
          <w:placeholder>
            <w:docPart w:val="A64C69E2DCA346568457C0842BCF90B5"/>
          </w:placeholder>
          <w:date w:fullDate="2018-12-12T00:00:00Z">
            <w:dateFormat w:val="MMMM d, yyyy"/>
            <w:lid w:val="en-US"/>
            <w:storeMappedDataAs w:val="dateTime"/>
            <w:calendar w:val="gregorian"/>
          </w:date>
        </w:sdtPr>
        <w:sdtEndPr/>
        <w:sdtContent>
          <w:r w:rsidR="00B95F26">
            <w:t>December 12, 2018</w:t>
          </w:r>
        </w:sdtContent>
      </w:sdt>
      <w:r w:rsidR="00123FAC">
        <w:t xml:space="preserve"> at 7:15</w:t>
      </w:r>
      <w:r>
        <w:t>am</w:t>
      </w:r>
      <w:r w:rsidR="00A3556E" w:rsidRPr="00581747">
        <w:tab/>
      </w:r>
    </w:p>
    <w:p w:rsidR="00527D33" w:rsidRPr="00335107" w:rsidRDefault="00527D33" w:rsidP="004806E1">
      <w:pPr>
        <w:pStyle w:val="Header"/>
        <w:tabs>
          <w:tab w:val="clear" w:pos="4320"/>
          <w:tab w:val="clear" w:pos="8640"/>
        </w:tabs>
        <w:rPr>
          <w:rFonts w:ascii="Arial" w:hAnsi="Arial"/>
        </w:rPr>
      </w:pPr>
    </w:p>
    <w:p w:rsidR="00A3556E" w:rsidRDefault="00A3556E" w:rsidP="00382E48">
      <w:pPr>
        <w:pStyle w:val="Heading1"/>
      </w:pPr>
      <w:r w:rsidRPr="00335107">
        <w:t>ADJOURNMENT:</w:t>
      </w:r>
    </w:p>
    <w:p w:rsidR="002F7B96" w:rsidRDefault="002F7B96" w:rsidP="004806E1">
      <w:pPr>
        <w:rPr>
          <w:b/>
        </w:rPr>
      </w:pPr>
    </w:p>
    <w:p w:rsidR="009F4301" w:rsidRPr="00B95F26" w:rsidRDefault="00B95F26" w:rsidP="004806E1">
      <w:r w:rsidRPr="00B95F26">
        <w:t>The meeting was adjourned at 8:30 a.m.</w:t>
      </w:r>
    </w:p>
    <w:p w:rsidR="00A23D56" w:rsidRDefault="00A23D56" w:rsidP="004806E1"/>
    <w:p w:rsidR="00A23D56" w:rsidRDefault="00A23D56" w:rsidP="004806E1"/>
    <w:p w:rsidR="00A23D56" w:rsidRDefault="00A23D56" w:rsidP="004806E1"/>
    <w:p w:rsidR="00A23D56" w:rsidRDefault="0016328F" w:rsidP="004806E1">
      <w:r>
        <w:tab/>
      </w:r>
      <w:r>
        <w:tab/>
      </w:r>
      <w:r>
        <w:tab/>
      </w:r>
      <w:r>
        <w:tab/>
      </w:r>
      <w:r>
        <w:tab/>
      </w:r>
      <w:r>
        <w:tab/>
      </w:r>
      <w:r>
        <w:tab/>
        <w:t>________________________________</w:t>
      </w:r>
    </w:p>
    <w:p w:rsidR="0016328F" w:rsidRPr="002F7B96" w:rsidRDefault="0016328F" w:rsidP="004806E1">
      <w:r>
        <w:tab/>
      </w:r>
      <w:r>
        <w:tab/>
      </w:r>
      <w:r>
        <w:tab/>
      </w:r>
      <w:r>
        <w:tab/>
      </w:r>
      <w:r>
        <w:tab/>
      </w:r>
      <w:r>
        <w:tab/>
      </w:r>
      <w:r>
        <w:tab/>
        <w:t xml:space="preserve">Amy K. </w:t>
      </w:r>
      <w:r w:rsidR="00A02132">
        <w:t>Kirkland,</w:t>
      </w:r>
      <w:r>
        <w:t xml:space="preserve"> City Clerk</w:t>
      </w:r>
    </w:p>
    <w:p w:rsidR="002F7B96" w:rsidRDefault="002F7B96" w:rsidP="004806E1">
      <w:pPr>
        <w:rPr>
          <w:b/>
        </w:rPr>
      </w:pPr>
    </w:p>
    <w:p w:rsidR="002F7B96" w:rsidRDefault="002F7B96" w:rsidP="004806E1">
      <w:pPr>
        <w:rPr>
          <w:b/>
        </w:rPr>
      </w:pPr>
    </w:p>
    <w:p w:rsidR="00084449" w:rsidRPr="00335107" w:rsidRDefault="00084449" w:rsidP="004806E1"/>
    <w:sectPr w:rsidR="00084449" w:rsidRPr="00335107" w:rsidSect="00530D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B33" w:rsidRDefault="00405B33">
      <w:r>
        <w:separator/>
      </w:r>
    </w:p>
  </w:endnote>
  <w:endnote w:type="continuationSeparator" w:id="0">
    <w:p w:rsidR="00405B33" w:rsidRDefault="00405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F9" w:rsidRDefault="000856F9" w:rsidP="00C00C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4D5A85">
      <w:rPr>
        <w:rStyle w:val="PageNumber"/>
      </w:rPr>
      <w:fldChar w:fldCharType="separate"/>
    </w:r>
    <w:r w:rsidR="004D5A85">
      <w:rPr>
        <w:rStyle w:val="PageNumber"/>
        <w:noProof/>
      </w:rPr>
      <w:t>8</w:t>
    </w:r>
    <w:r>
      <w:rPr>
        <w:rStyle w:val="PageNumber"/>
      </w:rPr>
      <w:fldChar w:fldCharType="end"/>
    </w:r>
  </w:p>
  <w:p w:rsidR="000856F9" w:rsidRDefault="000856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6F9" w:rsidRDefault="000856F9" w:rsidP="00C00C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5A85">
      <w:rPr>
        <w:rStyle w:val="PageNumber"/>
        <w:noProof/>
      </w:rPr>
      <w:t>1</w:t>
    </w:r>
    <w:r>
      <w:rPr>
        <w:rStyle w:val="PageNumber"/>
      </w:rPr>
      <w:fldChar w:fldCharType="end"/>
    </w:r>
  </w:p>
  <w:p w:rsidR="000856F9" w:rsidRPr="00BD6886" w:rsidRDefault="000856F9">
    <w:pPr>
      <w:pStyle w:val="Footer"/>
    </w:pPr>
    <w:r>
      <w:t>Draft</w:t>
    </w:r>
    <w:r>
      <w:tab/>
    </w:r>
    <w:r>
      <w:tab/>
    </w:r>
    <w:r w:rsidR="00BD6886">
      <w:fldChar w:fldCharType="begin"/>
    </w:r>
    <w:r w:rsidR="00BD6886">
      <w:instrText xml:space="preserve"> REF  MeetingDate \@ MM-dd-yyyy </w:instrText>
    </w:r>
    <w:r w:rsidR="00BD6886">
      <w:fldChar w:fldCharType="separate"/>
    </w:r>
    <w:r w:rsidR="004D5A85">
      <w:t>10-24-2018</w:t>
    </w:r>
    <w:r w:rsidR="00BD688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B33" w:rsidRDefault="00405B33">
      <w:r>
        <w:separator/>
      </w:r>
    </w:p>
  </w:footnote>
  <w:footnote w:type="continuationSeparator" w:id="0">
    <w:p w:rsidR="00405B33" w:rsidRDefault="00405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59A1"/>
    <w:multiLevelType w:val="hybridMultilevel"/>
    <w:tmpl w:val="4932595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5720749"/>
    <w:multiLevelType w:val="hybridMultilevel"/>
    <w:tmpl w:val="F940D7E2"/>
    <w:lvl w:ilvl="0" w:tplc="04090019">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AD73E8"/>
    <w:multiLevelType w:val="hybridMultilevel"/>
    <w:tmpl w:val="D9BEFC68"/>
    <w:lvl w:ilvl="0" w:tplc="B6127D3E">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326EA7"/>
    <w:multiLevelType w:val="hybridMultilevel"/>
    <w:tmpl w:val="14F6A7F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13D1180"/>
    <w:multiLevelType w:val="hybridMultilevel"/>
    <w:tmpl w:val="0090ECD6"/>
    <w:lvl w:ilvl="0" w:tplc="E400934A">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17EC7095"/>
    <w:multiLevelType w:val="hybridMultilevel"/>
    <w:tmpl w:val="C5560D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8BA5BFA"/>
    <w:multiLevelType w:val="hybridMultilevel"/>
    <w:tmpl w:val="0B480990"/>
    <w:lvl w:ilvl="0" w:tplc="04090019">
      <w:start w:val="1"/>
      <w:numFmt w:val="lowerLetter"/>
      <w:lvlText w:val="%1."/>
      <w:lvlJc w:val="left"/>
      <w:pPr>
        <w:tabs>
          <w:tab w:val="num" w:pos="3060"/>
        </w:tabs>
        <w:ind w:left="3060" w:hanging="360"/>
      </w:pPr>
    </w:lvl>
    <w:lvl w:ilvl="1" w:tplc="04090019" w:tentative="1">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1DB144E3"/>
    <w:multiLevelType w:val="hybridMultilevel"/>
    <w:tmpl w:val="3462FAE8"/>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DC701F"/>
    <w:multiLevelType w:val="hybridMultilevel"/>
    <w:tmpl w:val="36E67A68"/>
    <w:lvl w:ilvl="0" w:tplc="E400934A">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0326308"/>
    <w:multiLevelType w:val="hybridMultilevel"/>
    <w:tmpl w:val="5F1E6B0A"/>
    <w:lvl w:ilvl="0" w:tplc="04090019">
      <w:start w:val="1"/>
      <w:numFmt w:val="lowerLetter"/>
      <w:lvlText w:val="%1."/>
      <w:lvlJc w:val="left"/>
      <w:pPr>
        <w:ind w:left="720" w:hanging="360"/>
      </w:pPr>
    </w:lvl>
    <w:lvl w:ilvl="1" w:tplc="1A78AEB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E01D60"/>
    <w:multiLevelType w:val="hybridMultilevel"/>
    <w:tmpl w:val="233870DE"/>
    <w:lvl w:ilvl="0" w:tplc="0409000F">
      <w:start w:val="1"/>
      <w:numFmt w:val="decimal"/>
      <w:lvlText w:val="%1."/>
      <w:lvlJc w:val="left"/>
      <w:pPr>
        <w:ind w:left="18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270004"/>
    <w:multiLevelType w:val="hybridMultilevel"/>
    <w:tmpl w:val="8A86CA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5696E08"/>
    <w:multiLevelType w:val="hybridMultilevel"/>
    <w:tmpl w:val="6420A4F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A51BEA"/>
    <w:multiLevelType w:val="hybridMultilevel"/>
    <w:tmpl w:val="A61E6E72"/>
    <w:lvl w:ilvl="0" w:tplc="E400934A">
      <w:start w:val="1"/>
      <w:numFmt w:val="bullet"/>
      <w:lvlText w:val=""/>
      <w:lvlJc w:val="left"/>
      <w:pPr>
        <w:tabs>
          <w:tab w:val="num" w:pos="2160"/>
        </w:tabs>
        <w:ind w:left="2160" w:hanging="360"/>
      </w:pPr>
      <w:rPr>
        <w:rFonts w:ascii="Symbol" w:hAnsi="Symbol" w:hint="default"/>
        <w:color w:val="auto"/>
      </w:rPr>
    </w:lvl>
    <w:lvl w:ilvl="1" w:tplc="AB8CCBC6">
      <w:start w:val="1"/>
      <w:numFmt w:val="decimal"/>
      <w:lvlText w:val="%2."/>
      <w:lvlJc w:val="left"/>
      <w:pPr>
        <w:tabs>
          <w:tab w:val="num" w:pos="2160"/>
        </w:tabs>
        <w:ind w:left="2160" w:hanging="360"/>
      </w:pPr>
      <w:rPr>
        <w:rFonts w:hint="default"/>
        <w:i w:val="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2A0E118B"/>
    <w:multiLevelType w:val="hybridMultilevel"/>
    <w:tmpl w:val="2FCC2AB6"/>
    <w:lvl w:ilvl="0" w:tplc="04090019">
      <w:start w:val="1"/>
      <w:numFmt w:val="lowerLetter"/>
      <w:lvlText w:val="%1."/>
      <w:lvlJc w:val="left"/>
      <w:pPr>
        <w:ind w:left="360" w:hanging="360"/>
      </w:pPr>
    </w:lvl>
    <w:lvl w:ilvl="1" w:tplc="04090019" w:tentative="1">
      <w:start w:val="1"/>
      <w:numFmt w:val="lowerLetter"/>
      <w:lvlText w:val="%2."/>
      <w:lvlJc w:val="left"/>
      <w:pPr>
        <w:ind w:left="-860" w:hanging="360"/>
      </w:pPr>
    </w:lvl>
    <w:lvl w:ilvl="2" w:tplc="0409001B" w:tentative="1">
      <w:start w:val="1"/>
      <w:numFmt w:val="lowerRoman"/>
      <w:lvlText w:val="%3."/>
      <w:lvlJc w:val="right"/>
      <w:pPr>
        <w:ind w:left="-140" w:hanging="180"/>
      </w:pPr>
    </w:lvl>
    <w:lvl w:ilvl="3" w:tplc="0409000F" w:tentative="1">
      <w:start w:val="1"/>
      <w:numFmt w:val="decimal"/>
      <w:lvlText w:val="%4."/>
      <w:lvlJc w:val="left"/>
      <w:pPr>
        <w:ind w:left="580" w:hanging="360"/>
      </w:pPr>
    </w:lvl>
    <w:lvl w:ilvl="4" w:tplc="04090019" w:tentative="1">
      <w:start w:val="1"/>
      <w:numFmt w:val="lowerLetter"/>
      <w:lvlText w:val="%5."/>
      <w:lvlJc w:val="left"/>
      <w:pPr>
        <w:ind w:left="1300" w:hanging="360"/>
      </w:pPr>
    </w:lvl>
    <w:lvl w:ilvl="5" w:tplc="0409001B" w:tentative="1">
      <w:start w:val="1"/>
      <w:numFmt w:val="lowerRoman"/>
      <w:lvlText w:val="%6."/>
      <w:lvlJc w:val="right"/>
      <w:pPr>
        <w:ind w:left="2020" w:hanging="180"/>
      </w:pPr>
    </w:lvl>
    <w:lvl w:ilvl="6" w:tplc="0409000F" w:tentative="1">
      <w:start w:val="1"/>
      <w:numFmt w:val="decimal"/>
      <w:lvlText w:val="%7."/>
      <w:lvlJc w:val="left"/>
      <w:pPr>
        <w:ind w:left="2740" w:hanging="360"/>
      </w:pPr>
    </w:lvl>
    <w:lvl w:ilvl="7" w:tplc="04090019" w:tentative="1">
      <w:start w:val="1"/>
      <w:numFmt w:val="lowerLetter"/>
      <w:lvlText w:val="%8."/>
      <w:lvlJc w:val="left"/>
      <w:pPr>
        <w:ind w:left="3460" w:hanging="360"/>
      </w:pPr>
    </w:lvl>
    <w:lvl w:ilvl="8" w:tplc="0409001B" w:tentative="1">
      <w:start w:val="1"/>
      <w:numFmt w:val="lowerRoman"/>
      <w:lvlText w:val="%9."/>
      <w:lvlJc w:val="right"/>
      <w:pPr>
        <w:ind w:left="4180" w:hanging="180"/>
      </w:pPr>
    </w:lvl>
  </w:abstractNum>
  <w:abstractNum w:abstractNumId="15">
    <w:nsid w:val="2BDD663B"/>
    <w:multiLevelType w:val="hybridMultilevel"/>
    <w:tmpl w:val="7AC8AE9A"/>
    <w:lvl w:ilvl="0" w:tplc="F6F01ECC">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914C7D"/>
    <w:multiLevelType w:val="hybridMultilevel"/>
    <w:tmpl w:val="1ADCB7E8"/>
    <w:lvl w:ilvl="0" w:tplc="F5C89D5A">
      <w:start w:val="8"/>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F9451DB"/>
    <w:multiLevelType w:val="hybridMultilevel"/>
    <w:tmpl w:val="F7AE92FA"/>
    <w:lvl w:ilvl="0" w:tplc="13C0FF9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4B5143"/>
    <w:multiLevelType w:val="hybridMultilevel"/>
    <w:tmpl w:val="0B480990"/>
    <w:lvl w:ilvl="0" w:tplc="04090019">
      <w:start w:val="1"/>
      <w:numFmt w:val="lowerLetter"/>
      <w:lvlText w:val="%1."/>
      <w:lvlJc w:val="left"/>
      <w:pPr>
        <w:tabs>
          <w:tab w:val="num" w:pos="3060"/>
        </w:tabs>
        <w:ind w:left="3060" w:hanging="360"/>
      </w:pPr>
    </w:lvl>
    <w:lvl w:ilvl="1" w:tplc="04090019" w:tentative="1">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9">
    <w:nsid w:val="49295E7F"/>
    <w:multiLevelType w:val="hybridMultilevel"/>
    <w:tmpl w:val="E00A760A"/>
    <w:lvl w:ilvl="0" w:tplc="23385EB6">
      <w:start w:val="1"/>
      <w:numFmt w:val="decimal"/>
      <w:lvlText w:val="%1."/>
      <w:lvlJc w:val="left"/>
      <w:pPr>
        <w:tabs>
          <w:tab w:val="num" w:pos="360"/>
        </w:tabs>
        <w:ind w:left="360" w:hanging="36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CCA26CF"/>
    <w:multiLevelType w:val="hybridMultilevel"/>
    <w:tmpl w:val="26F635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A66F7A"/>
    <w:multiLevelType w:val="hybridMultilevel"/>
    <w:tmpl w:val="F4C27E94"/>
    <w:lvl w:ilvl="0" w:tplc="E400934A">
      <w:start w:val="1"/>
      <w:numFmt w:val="bullet"/>
      <w:lvlText w:val=""/>
      <w:lvlJc w:val="left"/>
      <w:pPr>
        <w:tabs>
          <w:tab w:val="num" w:pos="2160"/>
        </w:tabs>
        <w:ind w:left="2160" w:hanging="360"/>
      </w:pPr>
      <w:rPr>
        <w:rFonts w:ascii="Symbol" w:hAnsi="Symbol" w:hint="default"/>
        <w:color w:val="auto"/>
      </w:rPr>
    </w:lvl>
    <w:lvl w:ilvl="1" w:tplc="04090019">
      <w:start w:val="1"/>
      <w:numFmt w:val="lowerLetter"/>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0440576"/>
    <w:multiLevelType w:val="hybridMultilevel"/>
    <w:tmpl w:val="7C7C0F68"/>
    <w:lvl w:ilvl="0" w:tplc="B9AA30EE">
      <w:start w:val="7"/>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A2639E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nsid w:val="5B341E0C"/>
    <w:multiLevelType w:val="hybridMultilevel"/>
    <w:tmpl w:val="528EAD22"/>
    <w:lvl w:ilvl="0" w:tplc="0409000F">
      <w:start w:val="1"/>
      <w:numFmt w:val="decimal"/>
      <w:lvlText w:val="%1."/>
      <w:lvlJc w:val="left"/>
      <w:pPr>
        <w:tabs>
          <w:tab w:val="num" w:pos="360"/>
        </w:tabs>
        <w:ind w:left="360" w:hanging="360"/>
      </w:pPr>
      <w:rPr>
        <w:rFonts w:hint="default"/>
        <w:color w:val="auto"/>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5">
    <w:nsid w:val="5B9B001A"/>
    <w:multiLevelType w:val="hybridMultilevel"/>
    <w:tmpl w:val="145A3026"/>
    <w:lvl w:ilvl="0" w:tplc="160290D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168235C"/>
    <w:multiLevelType w:val="hybridMultilevel"/>
    <w:tmpl w:val="A8F685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58E3704"/>
    <w:multiLevelType w:val="hybridMultilevel"/>
    <w:tmpl w:val="A5FE919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68139F4"/>
    <w:multiLevelType w:val="hybridMultilevel"/>
    <w:tmpl w:val="4642D7B2"/>
    <w:lvl w:ilvl="0" w:tplc="50427E76">
      <w:start w:val="4"/>
      <w:numFmt w:val="bullet"/>
      <w:lvlText w:val="•"/>
      <w:lvlJc w:val="left"/>
      <w:pPr>
        <w:ind w:left="388" w:hanging="360"/>
      </w:pPr>
      <w:rPr>
        <w:rFonts w:ascii="Arial" w:eastAsia="Times New Roman" w:hAnsi="Arial" w:cs="Arial" w:hint="default"/>
      </w:rPr>
    </w:lvl>
    <w:lvl w:ilvl="1" w:tplc="04090003" w:tentative="1">
      <w:start w:val="1"/>
      <w:numFmt w:val="bullet"/>
      <w:lvlText w:val="o"/>
      <w:lvlJc w:val="left"/>
      <w:pPr>
        <w:ind w:left="1108" w:hanging="360"/>
      </w:pPr>
      <w:rPr>
        <w:rFonts w:ascii="Courier New" w:hAnsi="Courier New" w:cs="Courier New" w:hint="default"/>
      </w:rPr>
    </w:lvl>
    <w:lvl w:ilvl="2" w:tplc="04090005" w:tentative="1">
      <w:start w:val="1"/>
      <w:numFmt w:val="bullet"/>
      <w:lvlText w:val=""/>
      <w:lvlJc w:val="left"/>
      <w:pPr>
        <w:ind w:left="1828" w:hanging="360"/>
      </w:pPr>
      <w:rPr>
        <w:rFonts w:ascii="Wingdings" w:hAnsi="Wingdings" w:hint="default"/>
      </w:rPr>
    </w:lvl>
    <w:lvl w:ilvl="3" w:tplc="04090001" w:tentative="1">
      <w:start w:val="1"/>
      <w:numFmt w:val="bullet"/>
      <w:lvlText w:val=""/>
      <w:lvlJc w:val="left"/>
      <w:pPr>
        <w:ind w:left="2548" w:hanging="360"/>
      </w:pPr>
      <w:rPr>
        <w:rFonts w:ascii="Symbol" w:hAnsi="Symbol" w:hint="default"/>
      </w:rPr>
    </w:lvl>
    <w:lvl w:ilvl="4" w:tplc="04090003" w:tentative="1">
      <w:start w:val="1"/>
      <w:numFmt w:val="bullet"/>
      <w:lvlText w:val="o"/>
      <w:lvlJc w:val="left"/>
      <w:pPr>
        <w:ind w:left="3268" w:hanging="360"/>
      </w:pPr>
      <w:rPr>
        <w:rFonts w:ascii="Courier New" w:hAnsi="Courier New" w:cs="Courier New" w:hint="default"/>
      </w:rPr>
    </w:lvl>
    <w:lvl w:ilvl="5" w:tplc="04090005" w:tentative="1">
      <w:start w:val="1"/>
      <w:numFmt w:val="bullet"/>
      <w:lvlText w:val=""/>
      <w:lvlJc w:val="left"/>
      <w:pPr>
        <w:ind w:left="3988" w:hanging="360"/>
      </w:pPr>
      <w:rPr>
        <w:rFonts w:ascii="Wingdings" w:hAnsi="Wingdings" w:hint="default"/>
      </w:rPr>
    </w:lvl>
    <w:lvl w:ilvl="6" w:tplc="04090001" w:tentative="1">
      <w:start w:val="1"/>
      <w:numFmt w:val="bullet"/>
      <w:lvlText w:val=""/>
      <w:lvlJc w:val="left"/>
      <w:pPr>
        <w:ind w:left="4708" w:hanging="360"/>
      </w:pPr>
      <w:rPr>
        <w:rFonts w:ascii="Symbol" w:hAnsi="Symbol" w:hint="default"/>
      </w:rPr>
    </w:lvl>
    <w:lvl w:ilvl="7" w:tplc="04090003" w:tentative="1">
      <w:start w:val="1"/>
      <w:numFmt w:val="bullet"/>
      <w:lvlText w:val="o"/>
      <w:lvlJc w:val="left"/>
      <w:pPr>
        <w:ind w:left="5428" w:hanging="360"/>
      </w:pPr>
      <w:rPr>
        <w:rFonts w:ascii="Courier New" w:hAnsi="Courier New" w:cs="Courier New" w:hint="default"/>
      </w:rPr>
    </w:lvl>
    <w:lvl w:ilvl="8" w:tplc="04090005" w:tentative="1">
      <w:start w:val="1"/>
      <w:numFmt w:val="bullet"/>
      <w:lvlText w:val=""/>
      <w:lvlJc w:val="left"/>
      <w:pPr>
        <w:ind w:left="6148" w:hanging="360"/>
      </w:pPr>
      <w:rPr>
        <w:rFonts w:ascii="Wingdings" w:hAnsi="Wingdings" w:hint="default"/>
      </w:rPr>
    </w:lvl>
  </w:abstractNum>
  <w:abstractNum w:abstractNumId="29">
    <w:nsid w:val="696A4699"/>
    <w:multiLevelType w:val="hybridMultilevel"/>
    <w:tmpl w:val="5E6A9792"/>
    <w:lvl w:ilvl="0" w:tplc="E3A2393A">
      <w:start w:val="1"/>
      <w:numFmt w:val="decimal"/>
      <w:lvlText w:val="%1."/>
      <w:lvlJc w:val="left"/>
      <w:pPr>
        <w:tabs>
          <w:tab w:val="num" w:pos="360"/>
        </w:tabs>
        <w:ind w:left="36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A5F0E51"/>
    <w:multiLevelType w:val="hybridMultilevel"/>
    <w:tmpl w:val="C2BAD034"/>
    <w:lvl w:ilvl="0" w:tplc="8AEA9FC4">
      <w:start w:val="4"/>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nsid w:val="6A8D63A4"/>
    <w:multiLevelType w:val="multilevel"/>
    <w:tmpl w:val="47FAB950"/>
    <w:lvl w:ilvl="0">
      <w:start w:val="1"/>
      <w:numFmt w:val="lowerLetter"/>
      <w:lvlText w:val="%1."/>
      <w:lvlJc w:val="left"/>
      <w:pPr>
        <w:tabs>
          <w:tab w:val="num" w:pos="1440"/>
        </w:tabs>
        <w:ind w:left="14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6B654914"/>
    <w:multiLevelType w:val="hybridMultilevel"/>
    <w:tmpl w:val="5EB2495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E160CC3"/>
    <w:multiLevelType w:val="hybridMultilevel"/>
    <w:tmpl w:val="8DE073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423451D"/>
    <w:multiLevelType w:val="hybridMultilevel"/>
    <w:tmpl w:val="61DC9A92"/>
    <w:lvl w:ilvl="0" w:tplc="8BF6043A">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773E5101"/>
    <w:multiLevelType w:val="hybridMultilevel"/>
    <w:tmpl w:val="920EB17E"/>
    <w:lvl w:ilvl="0" w:tplc="0F744588">
      <w:start w:val="1"/>
      <w:numFmt w:val="decimal"/>
      <w:lvlText w:val="%1."/>
      <w:lvlJc w:val="left"/>
      <w:pPr>
        <w:tabs>
          <w:tab w:val="num" w:pos="360"/>
        </w:tabs>
        <w:ind w:left="360" w:hanging="360"/>
      </w:pPr>
      <w:rPr>
        <w:rFonts w:ascii="Arial" w:hAnsi="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CC6A5A"/>
    <w:multiLevelType w:val="hybridMultilevel"/>
    <w:tmpl w:val="9672247A"/>
    <w:lvl w:ilvl="0" w:tplc="64C69FA0">
      <w:start w:val="4505"/>
      <w:numFmt w:val="bullet"/>
      <w:lvlText w:val="•"/>
      <w:lvlJc w:val="righ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86570C"/>
    <w:multiLevelType w:val="hybridMultilevel"/>
    <w:tmpl w:val="D90AF362"/>
    <w:lvl w:ilvl="0" w:tplc="A0C088D4">
      <w:start w:val="1"/>
      <w:numFmt w:val="decimal"/>
      <w:lvlText w:val="%1."/>
      <w:lvlJc w:val="left"/>
      <w:pPr>
        <w:tabs>
          <w:tab w:val="num" w:pos="720"/>
        </w:tabs>
        <w:ind w:left="720" w:hanging="360"/>
      </w:pPr>
      <w:rPr>
        <w:rFonts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ED2251"/>
    <w:multiLevelType w:val="hybridMultilevel"/>
    <w:tmpl w:val="4D3E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F095FAA"/>
    <w:multiLevelType w:val="hybridMultilevel"/>
    <w:tmpl w:val="1998266E"/>
    <w:lvl w:ilvl="0" w:tplc="04090019">
      <w:start w:val="1"/>
      <w:numFmt w:val="lowerLetter"/>
      <w:lvlText w:val="%1."/>
      <w:lvlJc w:val="left"/>
      <w:pPr>
        <w:tabs>
          <w:tab w:val="num" w:pos="360"/>
        </w:tabs>
        <w:ind w:left="360" w:hanging="360"/>
      </w:pPr>
    </w:lvl>
    <w:lvl w:ilvl="1" w:tplc="A762F1D8">
      <w:start w:val="1"/>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7F2B7AA3"/>
    <w:multiLevelType w:val="hybridMultilevel"/>
    <w:tmpl w:val="38EC0388"/>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37"/>
  </w:num>
  <w:num w:numId="3">
    <w:abstractNumId w:val="39"/>
  </w:num>
  <w:num w:numId="4">
    <w:abstractNumId w:val="32"/>
  </w:num>
  <w:num w:numId="5">
    <w:abstractNumId w:val="38"/>
  </w:num>
  <w:num w:numId="6">
    <w:abstractNumId w:val="33"/>
  </w:num>
  <w:num w:numId="7">
    <w:abstractNumId w:val="11"/>
  </w:num>
  <w:num w:numId="8">
    <w:abstractNumId w:val="40"/>
  </w:num>
  <w:num w:numId="9">
    <w:abstractNumId w:val="25"/>
  </w:num>
  <w:num w:numId="10">
    <w:abstractNumId w:val="6"/>
  </w:num>
  <w:num w:numId="11">
    <w:abstractNumId w:val="26"/>
  </w:num>
  <w:num w:numId="12">
    <w:abstractNumId w:val="30"/>
  </w:num>
  <w:num w:numId="13">
    <w:abstractNumId w:val="4"/>
  </w:num>
  <w:num w:numId="14">
    <w:abstractNumId w:val="35"/>
  </w:num>
  <w:num w:numId="15">
    <w:abstractNumId w:val="29"/>
  </w:num>
  <w:num w:numId="16">
    <w:abstractNumId w:val="22"/>
  </w:num>
  <w:num w:numId="17">
    <w:abstractNumId w:val="19"/>
  </w:num>
  <w:num w:numId="18">
    <w:abstractNumId w:val="27"/>
  </w:num>
  <w:num w:numId="19">
    <w:abstractNumId w:val="31"/>
  </w:num>
  <w:num w:numId="20">
    <w:abstractNumId w:val="2"/>
  </w:num>
  <w:num w:numId="21">
    <w:abstractNumId w:val="16"/>
  </w:num>
  <w:num w:numId="22">
    <w:abstractNumId w:val="5"/>
  </w:num>
  <w:num w:numId="23">
    <w:abstractNumId w:val="20"/>
  </w:num>
  <w:num w:numId="24">
    <w:abstractNumId w:val="15"/>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
  </w:num>
  <w:num w:numId="30">
    <w:abstractNumId w:val="8"/>
  </w:num>
  <w:num w:numId="31">
    <w:abstractNumId w:val="7"/>
  </w:num>
  <w:num w:numId="32">
    <w:abstractNumId w:val="12"/>
  </w:num>
  <w:num w:numId="33">
    <w:abstractNumId w:val="34"/>
  </w:num>
  <w:num w:numId="34">
    <w:abstractNumId w:val="9"/>
  </w:num>
  <w:num w:numId="35">
    <w:abstractNumId w:val="21"/>
  </w:num>
  <w:num w:numId="36">
    <w:abstractNumId w:val="13"/>
  </w:num>
  <w:num w:numId="37">
    <w:abstractNumId w:val="14"/>
  </w:num>
  <w:num w:numId="38">
    <w:abstractNumId w:val="17"/>
  </w:num>
  <w:num w:numId="39">
    <w:abstractNumId w:val="1"/>
  </w:num>
  <w:num w:numId="40">
    <w:abstractNumId w:val="18"/>
  </w:num>
  <w:num w:numId="41">
    <w:abstractNumId w:val="24"/>
  </w:num>
  <w:num w:numId="42">
    <w:abstractNumId w:val="0"/>
  </w:num>
  <w:num w:numId="43">
    <w:abstractNumId w:val="10"/>
  </w:num>
  <w:num w:numId="44">
    <w:abstractNumId w:val="28"/>
  </w:num>
  <w:num w:numId="4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B33"/>
    <w:rsid w:val="000028BD"/>
    <w:rsid w:val="00014CE8"/>
    <w:rsid w:val="0001515B"/>
    <w:rsid w:val="00023C7F"/>
    <w:rsid w:val="00027596"/>
    <w:rsid w:val="000350EC"/>
    <w:rsid w:val="0005107C"/>
    <w:rsid w:val="00065289"/>
    <w:rsid w:val="0006784A"/>
    <w:rsid w:val="0007141A"/>
    <w:rsid w:val="00077735"/>
    <w:rsid w:val="00084449"/>
    <w:rsid w:val="000856F9"/>
    <w:rsid w:val="00087628"/>
    <w:rsid w:val="000877F6"/>
    <w:rsid w:val="00087A60"/>
    <w:rsid w:val="000A2C11"/>
    <w:rsid w:val="000A6590"/>
    <w:rsid w:val="000B23BF"/>
    <w:rsid w:val="000B5C94"/>
    <w:rsid w:val="000C035E"/>
    <w:rsid w:val="000C1975"/>
    <w:rsid w:val="000D0ECE"/>
    <w:rsid w:val="000E3520"/>
    <w:rsid w:val="000E414E"/>
    <w:rsid w:val="00115C92"/>
    <w:rsid w:val="00123FAC"/>
    <w:rsid w:val="00127BA1"/>
    <w:rsid w:val="00137234"/>
    <w:rsid w:val="00142CC0"/>
    <w:rsid w:val="001558B5"/>
    <w:rsid w:val="00157185"/>
    <w:rsid w:val="001629EB"/>
    <w:rsid w:val="0016328F"/>
    <w:rsid w:val="00172B31"/>
    <w:rsid w:val="00177486"/>
    <w:rsid w:val="00185020"/>
    <w:rsid w:val="00186A10"/>
    <w:rsid w:val="00187257"/>
    <w:rsid w:val="00195300"/>
    <w:rsid w:val="001A49F3"/>
    <w:rsid w:val="001B1213"/>
    <w:rsid w:val="001B6ED4"/>
    <w:rsid w:val="001C72B4"/>
    <w:rsid w:val="001D11B9"/>
    <w:rsid w:val="001D4A3B"/>
    <w:rsid w:val="001E2DCC"/>
    <w:rsid w:val="001E5676"/>
    <w:rsid w:val="001E7DED"/>
    <w:rsid w:val="00200CBF"/>
    <w:rsid w:val="0021710D"/>
    <w:rsid w:val="00225940"/>
    <w:rsid w:val="00226970"/>
    <w:rsid w:val="00231749"/>
    <w:rsid w:val="00240C5B"/>
    <w:rsid w:val="0025078C"/>
    <w:rsid w:val="00252049"/>
    <w:rsid w:val="002521BF"/>
    <w:rsid w:val="0025797B"/>
    <w:rsid w:val="00265BBC"/>
    <w:rsid w:val="00272A28"/>
    <w:rsid w:val="00281EA4"/>
    <w:rsid w:val="00295BF0"/>
    <w:rsid w:val="002A6A19"/>
    <w:rsid w:val="002B04C9"/>
    <w:rsid w:val="002B0573"/>
    <w:rsid w:val="002B15F6"/>
    <w:rsid w:val="002B6145"/>
    <w:rsid w:val="002C2352"/>
    <w:rsid w:val="002D4050"/>
    <w:rsid w:val="002D5E93"/>
    <w:rsid w:val="002F7B96"/>
    <w:rsid w:val="00310632"/>
    <w:rsid w:val="0031414C"/>
    <w:rsid w:val="00317F00"/>
    <w:rsid w:val="003278BA"/>
    <w:rsid w:val="0033487E"/>
    <w:rsid w:val="00335107"/>
    <w:rsid w:val="003360C4"/>
    <w:rsid w:val="00342646"/>
    <w:rsid w:val="00353C39"/>
    <w:rsid w:val="00374CDB"/>
    <w:rsid w:val="00377CE2"/>
    <w:rsid w:val="0038074B"/>
    <w:rsid w:val="00380C88"/>
    <w:rsid w:val="00382E48"/>
    <w:rsid w:val="00397182"/>
    <w:rsid w:val="003A4FD5"/>
    <w:rsid w:val="003B2798"/>
    <w:rsid w:val="003C602E"/>
    <w:rsid w:val="003C6DCA"/>
    <w:rsid w:val="003D3B99"/>
    <w:rsid w:val="003D6A65"/>
    <w:rsid w:val="003D7117"/>
    <w:rsid w:val="003E13E2"/>
    <w:rsid w:val="003F0040"/>
    <w:rsid w:val="003F21FF"/>
    <w:rsid w:val="003F6CC5"/>
    <w:rsid w:val="003F7DE0"/>
    <w:rsid w:val="00400D8A"/>
    <w:rsid w:val="0040511D"/>
    <w:rsid w:val="00405B33"/>
    <w:rsid w:val="0041289F"/>
    <w:rsid w:val="00416708"/>
    <w:rsid w:val="00431199"/>
    <w:rsid w:val="004535C1"/>
    <w:rsid w:val="00461221"/>
    <w:rsid w:val="00462BC2"/>
    <w:rsid w:val="004662E4"/>
    <w:rsid w:val="00470E4F"/>
    <w:rsid w:val="004806E1"/>
    <w:rsid w:val="00490188"/>
    <w:rsid w:val="004942BB"/>
    <w:rsid w:val="00494EE5"/>
    <w:rsid w:val="00495D1E"/>
    <w:rsid w:val="004A0626"/>
    <w:rsid w:val="004A6B78"/>
    <w:rsid w:val="004B21B0"/>
    <w:rsid w:val="004B7468"/>
    <w:rsid w:val="004C7855"/>
    <w:rsid w:val="004D5A85"/>
    <w:rsid w:val="004E7040"/>
    <w:rsid w:val="004F4A1A"/>
    <w:rsid w:val="004F4F04"/>
    <w:rsid w:val="00517AE8"/>
    <w:rsid w:val="00527D33"/>
    <w:rsid w:val="005306EC"/>
    <w:rsid w:val="00530DEE"/>
    <w:rsid w:val="0055548D"/>
    <w:rsid w:val="005571FE"/>
    <w:rsid w:val="00557411"/>
    <w:rsid w:val="00564630"/>
    <w:rsid w:val="005804C5"/>
    <w:rsid w:val="00581747"/>
    <w:rsid w:val="0059357F"/>
    <w:rsid w:val="00595BC2"/>
    <w:rsid w:val="005A375C"/>
    <w:rsid w:val="005B1192"/>
    <w:rsid w:val="005C5352"/>
    <w:rsid w:val="005C5AED"/>
    <w:rsid w:val="005C5DEB"/>
    <w:rsid w:val="005E058B"/>
    <w:rsid w:val="005E3EE2"/>
    <w:rsid w:val="005E5718"/>
    <w:rsid w:val="00615CA9"/>
    <w:rsid w:val="006179EC"/>
    <w:rsid w:val="006233DF"/>
    <w:rsid w:val="00625015"/>
    <w:rsid w:val="006326E9"/>
    <w:rsid w:val="00634D73"/>
    <w:rsid w:val="00635182"/>
    <w:rsid w:val="00637293"/>
    <w:rsid w:val="006511ED"/>
    <w:rsid w:val="00653919"/>
    <w:rsid w:val="00661F29"/>
    <w:rsid w:val="00662267"/>
    <w:rsid w:val="0066676D"/>
    <w:rsid w:val="0066746D"/>
    <w:rsid w:val="00674D6F"/>
    <w:rsid w:val="00693808"/>
    <w:rsid w:val="00693B13"/>
    <w:rsid w:val="00696DCA"/>
    <w:rsid w:val="006A7A6F"/>
    <w:rsid w:val="006B1CD4"/>
    <w:rsid w:val="006E1B08"/>
    <w:rsid w:val="006E3E5D"/>
    <w:rsid w:val="006F1107"/>
    <w:rsid w:val="006F6022"/>
    <w:rsid w:val="0071393D"/>
    <w:rsid w:val="00724D21"/>
    <w:rsid w:val="00730637"/>
    <w:rsid w:val="00733781"/>
    <w:rsid w:val="007369FB"/>
    <w:rsid w:val="00737228"/>
    <w:rsid w:val="0074045F"/>
    <w:rsid w:val="007464F0"/>
    <w:rsid w:val="007609EB"/>
    <w:rsid w:val="00770D86"/>
    <w:rsid w:val="00771240"/>
    <w:rsid w:val="00775B65"/>
    <w:rsid w:val="00792EE7"/>
    <w:rsid w:val="007972CC"/>
    <w:rsid w:val="007A1122"/>
    <w:rsid w:val="007B15E9"/>
    <w:rsid w:val="007B17F6"/>
    <w:rsid w:val="007B45A3"/>
    <w:rsid w:val="007B680C"/>
    <w:rsid w:val="007D1EC1"/>
    <w:rsid w:val="007D47CE"/>
    <w:rsid w:val="007D5E3D"/>
    <w:rsid w:val="007E766C"/>
    <w:rsid w:val="00813DAD"/>
    <w:rsid w:val="00816B72"/>
    <w:rsid w:val="008226A7"/>
    <w:rsid w:val="00830B75"/>
    <w:rsid w:val="0085693C"/>
    <w:rsid w:val="00861765"/>
    <w:rsid w:val="00866CC3"/>
    <w:rsid w:val="00882905"/>
    <w:rsid w:val="0088354F"/>
    <w:rsid w:val="00884351"/>
    <w:rsid w:val="008871CF"/>
    <w:rsid w:val="00895349"/>
    <w:rsid w:val="00897BE6"/>
    <w:rsid w:val="008C41B3"/>
    <w:rsid w:val="008F7BA9"/>
    <w:rsid w:val="00905D15"/>
    <w:rsid w:val="00920481"/>
    <w:rsid w:val="00921EC4"/>
    <w:rsid w:val="0092384F"/>
    <w:rsid w:val="009320BE"/>
    <w:rsid w:val="00945D50"/>
    <w:rsid w:val="00967DBC"/>
    <w:rsid w:val="00973E47"/>
    <w:rsid w:val="00992541"/>
    <w:rsid w:val="00993733"/>
    <w:rsid w:val="00993B2E"/>
    <w:rsid w:val="00993FF3"/>
    <w:rsid w:val="00997E51"/>
    <w:rsid w:val="009A1044"/>
    <w:rsid w:val="009A1F88"/>
    <w:rsid w:val="009A580A"/>
    <w:rsid w:val="009A6EF4"/>
    <w:rsid w:val="009C3AA1"/>
    <w:rsid w:val="009D0638"/>
    <w:rsid w:val="009D697E"/>
    <w:rsid w:val="009D7F90"/>
    <w:rsid w:val="009E04F5"/>
    <w:rsid w:val="009E065C"/>
    <w:rsid w:val="009E18CA"/>
    <w:rsid w:val="009E6130"/>
    <w:rsid w:val="009F4301"/>
    <w:rsid w:val="00A02132"/>
    <w:rsid w:val="00A1708A"/>
    <w:rsid w:val="00A23D56"/>
    <w:rsid w:val="00A2763F"/>
    <w:rsid w:val="00A33462"/>
    <w:rsid w:val="00A3556E"/>
    <w:rsid w:val="00A35891"/>
    <w:rsid w:val="00A4599E"/>
    <w:rsid w:val="00A522E1"/>
    <w:rsid w:val="00A5575D"/>
    <w:rsid w:val="00A65FB2"/>
    <w:rsid w:val="00A848EE"/>
    <w:rsid w:val="00A84B70"/>
    <w:rsid w:val="00A87602"/>
    <w:rsid w:val="00A9465A"/>
    <w:rsid w:val="00AA61CF"/>
    <w:rsid w:val="00AB11C7"/>
    <w:rsid w:val="00AB44EB"/>
    <w:rsid w:val="00AC38C7"/>
    <w:rsid w:val="00AC7DC7"/>
    <w:rsid w:val="00AD2574"/>
    <w:rsid w:val="00AE3550"/>
    <w:rsid w:val="00AE3D15"/>
    <w:rsid w:val="00AE46E6"/>
    <w:rsid w:val="00AE67B7"/>
    <w:rsid w:val="00AF744E"/>
    <w:rsid w:val="00B01D70"/>
    <w:rsid w:val="00B1635E"/>
    <w:rsid w:val="00B224A5"/>
    <w:rsid w:val="00B23BFE"/>
    <w:rsid w:val="00B27DBD"/>
    <w:rsid w:val="00B444E4"/>
    <w:rsid w:val="00B50061"/>
    <w:rsid w:val="00B51027"/>
    <w:rsid w:val="00B63DB7"/>
    <w:rsid w:val="00B64D8B"/>
    <w:rsid w:val="00B64F78"/>
    <w:rsid w:val="00B70F12"/>
    <w:rsid w:val="00B72310"/>
    <w:rsid w:val="00B84BBD"/>
    <w:rsid w:val="00B90AA8"/>
    <w:rsid w:val="00B95F19"/>
    <w:rsid w:val="00B95F26"/>
    <w:rsid w:val="00BB4E3A"/>
    <w:rsid w:val="00BC6027"/>
    <w:rsid w:val="00BD04E9"/>
    <w:rsid w:val="00BD09B1"/>
    <w:rsid w:val="00BD6626"/>
    <w:rsid w:val="00BD6886"/>
    <w:rsid w:val="00BD7245"/>
    <w:rsid w:val="00BE7835"/>
    <w:rsid w:val="00BF40B1"/>
    <w:rsid w:val="00BF4A1B"/>
    <w:rsid w:val="00BF68C3"/>
    <w:rsid w:val="00C00C09"/>
    <w:rsid w:val="00C027AC"/>
    <w:rsid w:val="00C05A2B"/>
    <w:rsid w:val="00C1404D"/>
    <w:rsid w:val="00C2073F"/>
    <w:rsid w:val="00C22BB2"/>
    <w:rsid w:val="00C3358F"/>
    <w:rsid w:val="00C35881"/>
    <w:rsid w:val="00C4654D"/>
    <w:rsid w:val="00C523A4"/>
    <w:rsid w:val="00C57EC5"/>
    <w:rsid w:val="00C6038B"/>
    <w:rsid w:val="00C60431"/>
    <w:rsid w:val="00C65D05"/>
    <w:rsid w:val="00C66A1A"/>
    <w:rsid w:val="00C763B0"/>
    <w:rsid w:val="00C83A87"/>
    <w:rsid w:val="00C842AE"/>
    <w:rsid w:val="00CA74E4"/>
    <w:rsid w:val="00CB37AF"/>
    <w:rsid w:val="00CD0F58"/>
    <w:rsid w:val="00CD53F1"/>
    <w:rsid w:val="00CE1609"/>
    <w:rsid w:val="00CE39AA"/>
    <w:rsid w:val="00CE7BF5"/>
    <w:rsid w:val="00CF1151"/>
    <w:rsid w:val="00CF35F8"/>
    <w:rsid w:val="00D06557"/>
    <w:rsid w:val="00D067EF"/>
    <w:rsid w:val="00D13850"/>
    <w:rsid w:val="00D21AD0"/>
    <w:rsid w:val="00D3540C"/>
    <w:rsid w:val="00D369B2"/>
    <w:rsid w:val="00D4256A"/>
    <w:rsid w:val="00D44444"/>
    <w:rsid w:val="00D4519B"/>
    <w:rsid w:val="00D473DA"/>
    <w:rsid w:val="00D47962"/>
    <w:rsid w:val="00D53219"/>
    <w:rsid w:val="00D567F9"/>
    <w:rsid w:val="00D7622D"/>
    <w:rsid w:val="00D868B3"/>
    <w:rsid w:val="00D91234"/>
    <w:rsid w:val="00DA128D"/>
    <w:rsid w:val="00DA3699"/>
    <w:rsid w:val="00DB73BA"/>
    <w:rsid w:val="00DC1AB2"/>
    <w:rsid w:val="00DC651B"/>
    <w:rsid w:val="00DE0307"/>
    <w:rsid w:val="00DF2C42"/>
    <w:rsid w:val="00E013CA"/>
    <w:rsid w:val="00E07401"/>
    <w:rsid w:val="00E14CB1"/>
    <w:rsid w:val="00E14D46"/>
    <w:rsid w:val="00E2278E"/>
    <w:rsid w:val="00E25969"/>
    <w:rsid w:val="00E312AF"/>
    <w:rsid w:val="00E31F2F"/>
    <w:rsid w:val="00E35EED"/>
    <w:rsid w:val="00E36707"/>
    <w:rsid w:val="00E77389"/>
    <w:rsid w:val="00E821A2"/>
    <w:rsid w:val="00E83166"/>
    <w:rsid w:val="00E857EB"/>
    <w:rsid w:val="00E90A61"/>
    <w:rsid w:val="00E91061"/>
    <w:rsid w:val="00EA12A9"/>
    <w:rsid w:val="00EA63EB"/>
    <w:rsid w:val="00EB3817"/>
    <w:rsid w:val="00EB4348"/>
    <w:rsid w:val="00EC5B2C"/>
    <w:rsid w:val="00ED1826"/>
    <w:rsid w:val="00ED18EE"/>
    <w:rsid w:val="00EE0538"/>
    <w:rsid w:val="00F03334"/>
    <w:rsid w:val="00F11FE1"/>
    <w:rsid w:val="00F16A04"/>
    <w:rsid w:val="00F16E8C"/>
    <w:rsid w:val="00F2339A"/>
    <w:rsid w:val="00F26356"/>
    <w:rsid w:val="00F27226"/>
    <w:rsid w:val="00F275B5"/>
    <w:rsid w:val="00F307B8"/>
    <w:rsid w:val="00F31538"/>
    <w:rsid w:val="00F44B7E"/>
    <w:rsid w:val="00F56A43"/>
    <w:rsid w:val="00F6084A"/>
    <w:rsid w:val="00F608FF"/>
    <w:rsid w:val="00F66B94"/>
    <w:rsid w:val="00F74B2E"/>
    <w:rsid w:val="00F81FC4"/>
    <w:rsid w:val="00F9530B"/>
    <w:rsid w:val="00F95A7A"/>
    <w:rsid w:val="00F97B0A"/>
    <w:rsid w:val="00F97EA7"/>
    <w:rsid w:val="00FA14A8"/>
    <w:rsid w:val="00FB36A7"/>
    <w:rsid w:val="00FB5432"/>
    <w:rsid w:val="00FB5931"/>
    <w:rsid w:val="00FB5DD8"/>
    <w:rsid w:val="00FD397F"/>
    <w:rsid w:val="00FE2F39"/>
    <w:rsid w:val="00FF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E1"/>
    <w:rPr>
      <w:kern w:val="20"/>
    </w:rPr>
  </w:style>
  <w:style w:type="paragraph" w:styleId="Heading1">
    <w:name w:val="heading 1"/>
    <w:basedOn w:val="Normal"/>
    <w:next w:val="Normal"/>
    <w:link w:val="Heading1Char"/>
    <w:autoRedefine/>
    <w:uiPriority w:val="1"/>
    <w:qFormat/>
    <w:rsid w:val="007E766C"/>
    <w:pPr>
      <w:keepNext/>
      <w:keepLines/>
      <w:spacing w:before="120"/>
      <w:ind w:left="-144"/>
      <w:outlineLvl w:val="0"/>
    </w:pPr>
    <w:rPr>
      <w:rFonts w:ascii="Calibri" w:eastAsiaTheme="majorEastAsia" w:hAnsi="Calibri" w:cstheme="majorBidi"/>
      <w:b/>
      <w:bCs/>
      <w:i/>
      <w:caps/>
      <w:sz w:val="24"/>
      <w:szCs w:val="28"/>
      <w:u w:val="single"/>
    </w:rPr>
  </w:style>
  <w:style w:type="paragraph" w:styleId="Heading2">
    <w:name w:val="heading 2"/>
    <w:basedOn w:val="Normal"/>
    <w:next w:val="Normal"/>
    <w:link w:val="Heading2Char"/>
    <w:autoRedefine/>
    <w:uiPriority w:val="9"/>
    <w:unhideWhenUsed/>
    <w:qFormat/>
    <w:rsid w:val="003D6A65"/>
    <w:pPr>
      <w:keepNext/>
      <w:keepLines/>
      <w:spacing w:line="220" w:lineRule="exact"/>
      <w:jc w:val="center"/>
      <w:outlineLvl w:val="1"/>
    </w:pPr>
    <w:rPr>
      <w:rFonts w:ascii="Calibri" w:eastAsiaTheme="majorEastAsia" w:hAnsi="Calibri" w:cstheme="majorBidi"/>
      <w:b/>
      <w:bCs/>
      <w:caps/>
      <w:kern w:val="24"/>
      <w:sz w:val="24"/>
      <w:szCs w:val="26"/>
    </w:rPr>
  </w:style>
  <w:style w:type="paragraph" w:styleId="Heading8">
    <w:name w:val="heading 8"/>
    <w:basedOn w:val="Normal"/>
    <w:next w:val="Normal"/>
    <w:uiPriority w:val="9"/>
    <w:semiHidden/>
    <w:unhideWhenUsed/>
    <w:qFormat/>
    <w:rsid w:val="005E058B"/>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058B"/>
    <w:pPr>
      <w:tabs>
        <w:tab w:val="center" w:pos="4320"/>
        <w:tab w:val="right" w:pos="8640"/>
      </w:tabs>
    </w:pPr>
    <w:rPr>
      <w:rFonts w:ascii="Times New Roman" w:hAnsi="Times New Roman"/>
    </w:rPr>
  </w:style>
  <w:style w:type="paragraph" w:styleId="Title">
    <w:name w:val="Title"/>
    <w:basedOn w:val="Normal"/>
    <w:uiPriority w:val="10"/>
    <w:qFormat/>
    <w:rsid w:val="005E058B"/>
    <w:pPr>
      <w:pBdr>
        <w:bottom w:val="single" w:sz="8" w:space="4" w:color="4F81BD" w:themeColor="accent1"/>
      </w:pBdr>
      <w:spacing w:after="300"/>
      <w:contextualSpacing/>
    </w:pPr>
    <w:rPr>
      <w:rFonts w:asciiTheme="majorHAnsi" w:eastAsiaTheme="majorEastAsia" w:hAnsiTheme="majorHAnsi" w:cstheme="majorBidi"/>
      <w:color w:val="BF0000" w:themeColor="text2" w:themeShade="BF"/>
      <w:spacing w:val="5"/>
      <w:kern w:val="28"/>
      <w:sz w:val="52"/>
      <w:szCs w:val="52"/>
    </w:rPr>
  </w:style>
  <w:style w:type="paragraph" w:styleId="BodyTextIndent">
    <w:name w:val="Body Text Indent"/>
    <w:basedOn w:val="Normal"/>
    <w:link w:val="BodyTextIndentChar"/>
    <w:rsid w:val="005E058B"/>
    <w:pPr>
      <w:ind w:left="720"/>
    </w:pPr>
    <w:rPr>
      <w:rFonts w:ascii="Bookman Old Style" w:hAnsi="Bookman Old Style"/>
    </w:rPr>
  </w:style>
  <w:style w:type="paragraph" w:styleId="BodyText">
    <w:name w:val="Body Text"/>
    <w:basedOn w:val="Normal"/>
    <w:rsid w:val="005E058B"/>
    <w:pPr>
      <w:spacing w:after="120"/>
    </w:pPr>
  </w:style>
  <w:style w:type="paragraph" w:styleId="Footer">
    <w:name w:val="footer"/>
    <w:basedOn w:val="Normal"/>
    <w:rsid w:val="005E058B"/>
    <w:pPr>
      <w:tabs>
        <w:tab w:val="center" w:pos="4320"/>
        <w:tab w:val="right" w:pos="8640"/>
      </w:tabs>
    </w:pPr>
  </w:style>
  <w:style w:type="character" w:styleId="PageNumber">
    <w:name w:val="page number"/>
    <w:basedOn w:val="DefaultParagraphFont"/>
    <w:rsid w:val="005E058B"/>
  </w:style>
  <w:style w:type="character" w:customStyle="1" w:styleId="BodyTextIndentChar">
    <w:name w:val="Body Text Indent Char"/>
    <w:link w:val="BodyTextIndent"/>
    <w:rsid w:val="005E058B"/>
    <w:rPr>
      <w:rFonts w:ascii="Bookman Old Style" w:hAnsi="Bookman Old Style"/>
    </w:rPr>
  </w:style>
  <w:style w:type="character" w:customStyle="1" w:styleId="HeaderChar">
    <w:name w:val="Header Char"/>
    <w:link w:val="Header"/>
    <w:rsid w:val="005E058B"/>
    <w:rPr>
      <w:rFonts w:ascii="Times New Roman" w:hAnsi="Times New Roman"/>
    </w:rPr>
  </w:style>
  <w:style w:type="character" w:customStyle="1" w:styleId="CapsBold">
    <w:name w:val="CapsBold"/>
    <w:basedOn w:val="DefaultParagraphFont"/>
    <w:uiPriority w:val="1"/>
    <w:qFormat/>
    <w:rsid w:val="005E058B"/>
    <w:rPr>
      <w:rFonts w:ascii="Arial" w:hAnsi="Arial"/>
      <w:b/>
      <w:caps/>
      <w:smallCaps w:val="0"/>
      <w:sz w:val="20"/>
    </w:rPr>
  </w:style>
  <w:style w:type="paragraph" w:styleId="BalloonText">
    <w:name w:val="Balloon Text"/>
    <w:basedOn w:val="Normal"/>
    <w:link w:val="BalloonTextChar"/>
    <w:uiPriority w:val="99"/>
    <w:semiHidden/>
    <w:unhideWhenUsed/>
    <w:rsid w:val="005E058B"/>
    <w:rPr>
      <w:rFonts w:ascii="Tahoma" w:hAnsi="Tahoma" w:cs="Tahoma"/>
      <w:sz w:val="16"/>
      <w:szCs w:val="16"/>
    </w:rPr>
  </w:style>
  <w:style w:type="character" w:customStyle="1" w:styleId="BalloonTextChar">
    <w:name w:val="Balloon Text Char"/>
    <w:basedOn w:val="DefaultParagraphFont"/>
    <w:link w:val="BalloonText"/>
    <w:uiPriority w:val="99"/>
    <w:semiHidden/>
    <w:rsid w:val="005E058B"/>
    <w:rPr>
      <w:rFonts w:ascii="Tahoma" w:hAnsi="Tahoma" w:cs="Tahoma"/>
      <w:sz w:val="16"/>
      <w:szCs w:val="16"/>
    </w:rPr>
  </w:style>
  <w:style w:type="character" w:styleId="PlaceholderText">
    <w:name w:val="Placeholder Text"/>
    <w:basedOn w:val="DefaultParagraphFont"/>
    <w:uiPriority w:val="99"/>
    <w:semiHidden/>
    <w:rsid w:val="005E058B"/>
    <w:rPr>
      <w:color w:val="808080"/>
    </w:rPr>
  </w:style>
  <w:style w:type="character" w:customStyle="1" w:styleId="CapsBoldUnderline">
    <w:name w:val="CapsBoldUnderline"/>
    <w:basedOn w:val="DefaultParagraphFont"/>
    <w:qFormat/>
    <w:rsid w:val="005E058B"/>
    <w:rPr>
      <w:rFonts w:ascii="Arial" w:hAnsi="Arial"/>
      <w:b/>
      <w:caps/>
      <w:smallCaps w:val="0"/>
      <w:sz w:val="20"/>
      <w:u w:val="single"/>
    </w:rPr>
  </w:style>
  <w:style w:type="paragraph" w:styleId="ListParagraph">
    <w:name w:val="List Paragraph"/>
    <w:basedOn w:val="Normal"/>
    <w:uiPriority w:val="34"/>
    <w:qFormat/>
    <w:rsid w:val="005E058B"/>
    <w:pPr>
      <w:ind w:left="720"/>
      <w:contextualSpacing/>
    </w:pPr>
  </w:style>
  <w:style w:type="character" w:customStyle="1" w:styleId="Heading1Char">
    <w:name w:val="Heading 1 Char"/>
    <w:basedOn w:val="DefaultParagraphFont"/>
    <w:link w:val="Heading1"/>
    <w:uiPriority w:val="1"/>
    <w:rsid w:val="007E766C"/>
    <w:rPr>
      <w:rFonts w:ascii="Calibri" w:eastAsiaTheme="majorEastAsia" w:hAnsi="Calibri" w:cstheme="majorBidi"/>
      <w:b/>
      <w:bCs/>
      <w:i/>
      <w:caps/>
      <w:kern w:val="20"/>
      <w:sz w:val="24"/>
      <w:szCs w:val="28"/>
      <w:u w:val="single"/>
    </w:rPr>
  </w:style>
  <w:style w:type="character" w:customStyle="1" w:styleId="Heading2Char">
    <w:name w:val="Heading 2 Char"/>
    <w:basedOn w:val="DefaultParagraphFont"/>
    <w:link w:val="Heading2"/>
    <w:uiPriority w:val="9"/>
    <w:rsid w:val="003D6A65"/>
    <w:rPr>
      <w:rFonts w:ascii="Calibri" w:eastAsiaTheme="majorEastAsia" w:hAnsi="Calibri" w:cstheme="majorBidi"/>
      <w:b/>
      <w:bCs/>
      <w:caps/>
      <w:kern w:val="24"/>
      <w:sz w:val="24"/>
      <w:szCs w:val="26"/>
    </w:rPr>
  </w:style>
  <w:style w:type="table" w:customStyle="1" w:styleId="TableGrid1">
    <w:name w:val="Table Grid1"/>
    <w:basedOn w:val="TableNormal"/>
    <w:next w:val="TableGrid"/>
    <w:uiPriority w:val="59"/>
    <w:rsid w:val="00077735"/>
    <w:pPr>
      <w:widowControl w:val="0"/>
      <w:spacing w:after="200" w:line="276"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77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E1"/>
    <w:rPr>
      <w:kern w:val="20"/>
    </w:rPr>
  </w:style>
  <w:style w:type="paragraph" w:styleId="Heading1">
    <w:name w:val="heading 1"/>
    <w:basedOn w:val="Normal"/>
    <w:next w:val="Normal"/>
    <w:link w:val="Heading1Char"/>
    <w:autoRedefine/>
    <w:uiPriority w:val="1"/>
    <w:qFormat/>
    <w:rsid w:val="007E766C"/>
    <w:pPr>
      <w:keepNext/>
      <w:keepLines/>
      <w:spacing w:before="120"/>
      <w:ind w:left="-144"/>
      <w:outlineLvl w:val="0"/>
    </w:pPr>
    <w:rPr>
      <w:rFonts w:ascii="Calibri" w:eastAsiaTheme="majorEastAsia" w:hAnsi="Calibri" w:cstheme="majorBidi"/>
      <w:b/>
      <w:bCs/>
      <w:i/>
      <w:caps/>
      <w:sz w:val="24"/>
      <w:szCs w:val="28"/>
      <w:u w:val="single"/>
    </w:rPr>
  </w:style>
  <w:style w:type="paragraph" w:styleId="Heading2">
    <w:name w:val="heading 2"/>
    <w:basedOn w:val="Normal"/>
    <w:next w:val="Normal"/>
    <w:link w:val="Heading2Char"/>
    <w:autoRedefine/>
    <w:uiPriority w:val="9"/>
    <w:unhideWhenUsed/>
    <w:qFormat/>
    <w:rsid w:val="003D6A65"/>
    <w:pPr>
      <w:keepNext/>
      <w:keepLines/>
      <w:spacing w:line="220" w:lineRule="exact"/>
      <w:jc w:val="center"/>
      <w:outlineLvl w:val="1"/>
    </w:pPr>
    <w:rPr>
      <w:rFonts w:ascii="Calibri" w:eastAsiaTheme="majorEastAsia" w:hAnsi="Calibri" w:cstheme="majorBidi"/>
      <w:b/>
      <w:bCs/>
      <w:caps/>
      <w:kern w:val="24"/>
      <w:sz w:val="24"/>
      <w:szCs w:val="26"/>
    </w:rPr>
  </w:style>
  <w:style w:type="paragraph" w:styleId="Heading8">
    <w:name w:val="heading 8"/>
    <w:basedOn w:val="Normal"/>
    <w:next w:val="Normal"/>
    <w:uiPriority w:val="9"/>
    <w:semiHidden/>
    <w:unhideWhenUsed/>
    <w:qFormat/>
    <w:rsid w:val="005E058B"/>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E058B"/>
    <w:pPr>
      <w:tabs>
        <w:tab w:val="center" w:pos="4320"/>
        <w:tab w:val="right" w:pos="8640"/>
      </w:tabs>
    </w:pPr>
    <w:rPr>
      <w:rFonts w:ascii="Times New Roman" w:hAnsi="Times New Roman"/>
    </w:rPr>
  </w:style>
  <w:style w:type="paragraph" w:styleId="Title">
    <w:name w:val="Title"/>
    <w:basedOn w:val="Normal"/>
    <w:uiPriority w:val="10"/>
    <w:qFormat/>
    <w:rsid w:val="005E058B"/>
    <w:pPr>
      <w:pBdr>
        <w:bottom w:val="single" w:sz="8" w:space="4" w:color="4F81BD" w:themeColor="accent1"/>
      </w:pBdr>
      <w:spacing w:after="300"/>
      <w:contextualSpacing/>
    </w:pPr>
    <w:rPr>
      <w:rFonts w:asciiTheme="majorHAnsi" w:eastAsiaTheme="majorEastAsia" w:hAnsiTheme="majorHAnsi" w:cstheme="majorBidi"/>
      <w:color w:val="BF0000" w:themeColor="text2" w:themeShade="BF"/>
      <w:spacing w:val="5"/>
      <w:kern w:val="28"/>
      <w:sz w:val="52"/>
      <w:szCs w:val="52"/>
    </w:rPr>
  </w:style>
  <w:style w:type="paragraph" w:styleId="BodyTextIndent">
    <w:name w:val="Body Text Indent"/>
    <w:basedOn w:val="Normal"/>
    <w:link w:val="BodyTextIndentChar"/>
    <w:rsid w:val="005E058B"/>
    <w:pPr>
      <w:ind w:left="720"/>
    </w:pPr>
    <w:rPr>
      <w:rFonts w:ascii="Bookman Old Style" w:hAnsi="Bookman Old Style"/>
    </w:rPr>
  </w:style>
  <w:style w:type="paragraph" w:styleId="BodyText">
    <w:name w:val="Body Text"/>
    <w:basedOn w:val="Normal"/>
    <w:rsid w:val="005E058B"/>
    <w:pPr>
      <w:spacing w:after="120"/>
    </w:pPr>
  </w:style>
  <w:style w:type="paragraph" w:styleId="Footer">
    <w:name w:val="footer"/>
    <w:basedOn w:val="Normal"/>
    <w:rsid w:val="005E058B"/>
    <w:pPr>
      <w:tabs>
        <w:tab w:val="center" w:pos="4320"/>
        <w:tab w:val="right" w:pos="8640"/>
      </w:tabs>
    </w:pPr>
  </w:style>
  <w:style w:type="character" w:styleId="PageNumber">
    <w:name w:val="page number"/>
    <w:basedOn w:val="DefaultParagraphFont"/>
    <w:rsid w:val="005E058B"/>
  </w:style>
  <w:style w:type="character" w:customStyle="1" w:styleId="BodyTextIndentChar">
    <w:name w:val="Body Text Indent Char"/>
    <w:link w:val="BodyTextIndent"/>
    <w:rsid w:val="005E058B"/>
    <w:rPr>
      <w:rFonts w:ascii="Bookman Old Style" w:hAnsi="Bookman Old Style"/>
    </w:rPr>
  </w:style>
  <w:style w:type="character" w:customStyle="1" w:styleId="HeaderChar">
    <w:name w:val="Header Char"/>
    <w:link w:val="Header"/>
    <w:rsid w:val="005E058B"/>
    <w:rPr>
      <w:rFonts w:ascii="Times New Roman" w:hAnsi="Times New Roman"/>
    </w:rPr>
  </w:style>
  <w:style w:type="character" w:customStyle="1" w:styleId="CapsBold">
    <w:name w:val="CapsBold"/>
    <w:basedOn w:val="DefaultParagraphFont"/>
    <w:uiPriority w:val="1"/>
    <w:qFormat/>
    <w:rsid w:val="005E058B"/>
    <w:rPr>
      <w:rFonts w:ascii="Arial" w:hAnsi="Arial"/>
      <w:b/>
      <w:caps/>
      <w:smallCaps w:val="0"/>
      <w:sz w:val="20"/>
    </w:rPr>
  </w:style>
  <w:style w:type="paragraph" w:styleId="BalloonText">
    <w:name w:val="Balloon Text"/>
    <w:basedOn w:val="Normal"/>
    <w:link w:val="BalloonTextChar"/>
    <w:uiPriority w:val="99"/>
    <w:semiHidden/>
    <w:unhideWhenUsed/>
    <w:rsid w:val="005E058B"/>
    <w:rPr>
      <w:rFonts w:ascii="Tahoma" w:hAnsi="Tahoma" w:cs="Tahoma"/>
      <w:sz w:val="16"/>
      <w:szCs w:val="16"/>
    </w:rPr>
  </w:style>
  <w:style w:type="character" w:customStyle="1" w:styleId="BalloonTextChar">
    <w:name w:val="Balloon Text Char"/>
    <w:basedOn w:val="DefaultParagraphFont"/>
    <w:link w:val="BalloonText"/>
    <w:uiPriority w:val="99"/>
    <w:semiHidden/>
    <w:rsid w:val="005E058B"/>
    <w:rPr>
      <w:rFonts w:ascii="Tahoma" w:hAnsi="Tahoma" w:cs="Tahoma"/>
      <w:sz w:val="16"/>
      <w:szCs w:val="16"/>
    </w:rPr>
  </w:style>
  <w:style w:type="character" w:styleId="PlaceholderText">
    <w:name w:val="Placeholder Text"/>
    <w:basedOn w:val="DefaultParagraphFont"/>
    <w:uiPriority w:val="99"/>
    <w:semiHidden/>
    <w:rsid w:val="005E058B"/>
    <w:rPr>
      <w:color w:val="808080"/>
    </w:rPr>
  </w:style>
  <w:style w:type="character" w:customStyle="1" w:styleId="CapsBoldUnderline">
    <w:name w:val="CapsBoldUnderline"/>
    <w:basedOn w:val="DefaultParagraphFont"/>
    <w:qFormat/>
    <w:rsid w:val="005E058B"/>
    <w:rPr>
      <w:rFonts w:ascii="Arial" w:hAnsi="Arial"/>
      <w:b/>
      <w:caps/>
      <w:smallCaps w:val="0"/>
      <w:sz w:val="20"/>
      <w:u w:val="single"/>
    </w:rPr>
  </w:style>
  <w:style w:type="paragraph" w:styleId="ListParagraph">
    <w:name w:val="List Paragraph"/>
    <w:basedOn w:val="Normal"/>
    <w:uiPriority w:val="34"/>
    <w:qFormat/>
    <w:rsid w:val="005E058B"/>
    <w:pPr>
      <w:ind w:left="720"/>
      <w:contextualSpacing/>
    </w:pPr>
  </w:style>
  <w:style w:type="character" w:customStyle="1" w:styleId="Heading1Char">
    <w:name w:val="Heading 1 Char"/>
    <w:basedOn w:val="DefaultParagraphFont"/>
    <w:link w:val="Heading1"/>
    <w:uiPriority w:val="1"/>
    <w:rsid w:val="007E766C"/>
    <w:rPr>
      <w:rFonts w:ascii="Calibri" w:eastAsiaTheme="majorEastAsia" w:hAnsi="Calibri" w:cstheme="majorBidi"/>
      <w:b/>
      <w:bCs/>
      <w:i/>
      <w:caps/>
      <w:kern w:val="20"/>
      <w:sz w:val="24"/>
      <w:szCs w:val="28"/>
      <w:u w:val="single"/>
    </w:rPr>
  </w:style>
  <w:style w:type="character" w:customStyle="1" w:styleId="Heading2Char">
    <w:name w:val="Heading 2 Char"/>
    <w:basedOn w:val="DefaultParagraphFont"/>
    <w:link w:val="Heading2"/>
    <w:uiPriority w:val="9"/>
    <w:rsid w:val="003D6A65"/>
    <w:rPr>
      <w:rFonts w:ascii="Calibri" w:eastAsiaTheme="majorEastAsia" w:hAnsi="Calibri" w:cstheme="majorBidi"/>
      <w:b/>
      <w:bCs/>
      <w:caps/>
      <w:kern w:val="24"/>
      <w:sz w:val="24"/>
      <w:szCs w:val="26"/>
    </w:rPr>
  </w:style>
  <w:style w:type="table" w:customStyle="1" w:styleId="TableGrid1">
    <w:name w:val="Table Grid1"/>
    <w:basedOn w:val="TableNormal"/>
    <w:next w:val="TableGrid"/>
    <w:uiPriority w:val="59"/>
    <w:rsid w:val="00077735"/>
    <w:pPr>
      <w:widowControl w:val="0"/>
      <w:spacing w:after="200" w:line="276"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777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4252">
      <w:bodyDiv w:val="1"/>
      <w:marLeft w:val="0"/>
      <w:marRight w:val="0"/>
      <w:marTop w:val="0"/>
      <w:marBottom w:val="0"/>
      <w:divBdr>
        <w:top w:val="none" w:sz="0" w:space="0" w:color="auto"/>
        <w:left w:val="none" w:sz="0" w:space="0" w:color="auto"/>
        <w:bottom w:val="none" w:sz="0" w:space="0" w:color="auto"/>
        <w:right w:val="none" w:sz="0" w:space="0" w:color="auto"/>
      </w:divBdr>
    </w:div>
    <w:div w:id="963468062">
      <w:bodyDiv w:val="1"/>
      <w:marLeft w:val="0"/>
      <w:marRight w:val="0"/>
      <w:marTop w:val="0"/>
      <w:marBottom w:val="0"/>
      <w:divBdr>
        <w:top w:val="none" w:sz="0" w:space="0" w:color="auto"/>
        <w:left w:val="none" w:sz="0" w:space="0" w:color="auto"/>
        <w:bottom w:val="none" w:sz="0" w:space="0" w:color="auto"/>
        <w:right w:val="none" w:sz="0" w:space="0" w:color="auto"/>
      </w:divBdr>
    </w:div>
    <w:div w:id="134600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kirkland\AppData\Roaming\Microsoft\Templates\Retirement\MinutesRtrm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75A235C16B44BB4BD96E2FD20339A36"/>
        <w:category>
          <w:name w:val="General"/>
          <w:gallery w:val="placeholder"/>
        </w:category>
        <w:types>
          <w:type w:val="bbPlcHdr"/>
        </w:types>
        <w:behaviors>
          <w:behavior w:val="content"/>
        </w:behaviors>
        <w:guid w:val="{0B3AFC78-CDAD-49B1-AFE4-E6779B65D748}"/>
      </w:docPartPr>
      <w:docPartBody>
        <w:p w:rsidR="00A33DED" w:rsidRDefault="00D71A40">
          <w:pPr>
            <w:pStyle w:val="175A235C16B44BB4BD96E2FD20339A36"/>
          </w:pPr>
          <w:r w:rsidRPr="00171CF3">
            <w:rPr>
              <w:rStyle w:val="PlaceholderText"/>
            </w:rPr>
            <w:t>Click here to enter a date.</w:t>
          </w:r>
        </w:p>
      </w:docPartBody>
    </w:docPart>
    <w:docPart>
      <w:docPartPr>
        <w:name w:val="105B4DC2694C40DD8C4E0D1E4B9131FD"/>
        <w:category>
          <w:name w:val="General"/>
          <w:gallery w:val="placeholder"/>
        </w:category>
        <w:types>
          <w:type w:val="bbPlcHdr"/>
        </w:types>
        <w:behaviors>
          <w:behavior w:val="content"/>
        </w:behaviors>
        <w:guid w:val="{72D463C9-D1A4-42CD-9B0F-3596C3DC6FEB}"/>
      </w:docPartPr>
      <w:docPartBody>
        <w:p w:rsidR="00A33DED" w:rsidRDefault="00D71A40">
          <w:pPr>
            <w:pStyle w:val="105B4DC2694C40DD8C4E0D1E4B9131FD"/>
          </w:pPr>
          <w:r w:rsidRPr="000C12B9">
            <w:rPr>
              <w:rStyle w:val="PlaceholderText"/>
            </w:rPr>
            <w:t>Choose an item.</w:t>
          </w:r>
        </w:p>
      </w:docPartBody>
    </w:docPart>
    <w:docPart>
      <w:docPartPr>
        <w:name w:val="099D9474D90B47DF8776963A09DCA4DB"/>
        <w:category>
          <w:name w:val="General"/>
          <w:gallery w:val="placeholder"/>
        </w:category>
        <w:types>
          <w:type w:val="bbPlcHdr"/>
        </w:types>
        <w:behaviors>
          <w:behavior w:val="content"/>
        </w:behaviors>
        <w:guid w:val="{5B93D4B7-2E1C-4282-88F2-5900B3D0ED49}"/>
      </w:docPartPr>
      <w:docPartBody>
        <w:p w:rsidR="00A33DED" w:rsidRDefault="00D71A40">
          <w:pPr>
            <w:pStyle w:val="099D9474D90B47DF8776963A09DCA4DB"/>
          </w:pPr>
          <w:r w:rsidRPr="000C12B9">
            <w:rPr>
              <w:rStyle w:val="PlaceholderText"/>
            </w:rPr>
            <w:t>Choose an item.</w:t>
          </w:r>
        </w:p>
      </w:docPartBody>
    </w:docPart>
    <w:docPart>
      <w:docPartPr>
        <w:name w:val="9EB2EB79E6F94473A5F3E71893F1CFC7"/>
        <w:category>
          <w:name w:val="General"/>
          <w:gallery w:val="placeholder"/>
        </w:category>
        <w:types>
          <w:type w:val="bbPlcHdr"/>
        </w:types>
        <w:behaviors>
          <w:behavior w:val="content"/>
        </w:behaviors>
        <w:guid w:val="{ACC2555D-81D6-441B-A811-9F5A6E25F644}"/>
      </w:docPartPr>
      <w:docPartBody>
        <w:p w:rsidR="00A33DED" w:rsidRDefault="00D71A40">
          <w:pPr>
            <w:pStyle w:val="9EB2EB79E6F94473A5F3E71893F1CFC7"/>
          </w:pPr>
          <w:r w:rsidRPr="00171CF3">
            <w:rPr>
              <w:rStyle w:val="PlaceholderText"/>
            </w:rPr>
            <w:t>Click here to enter a date.</w:t>
          </w:r>
        </w:p>
      </w:docPartBody>
    </w:docPart>
    <w:docPart>
      <w:docPartPr>
        <w:name w:val="63C12EBCFF3349D5B60386276E201F35"/>
        <w:category>
          <w:name w:val="General"/>
          <w:gallery w:val="placeholder"/>
        </w:category>
        <w:types>
          <w:type w:val="bbPlcHdr"/>
        </w:types>
        <w:behaviors>
          <w:behavior w:val="content"/>
        </w:behaviors>
        <w:guid w:val="{67D5C69E-05B2-48FF-9C55-18B65FBE97FC}"/>
      </w:docPartPr>
      <w:docPartBody>
        <w:p w:rsidR="00A33DED" w:rsidRDefault="00D71A40">
          <w:pPr>
            <w:pStyle w:val="63C12EBCFF3349D5B60386276E201F35"/>
          </w:pPr>
          <w:r w:rsidRPr="000C12B9">
            <w:rPr>
              <w:rStyle w:val="PlaceholderText"/>
            </w:rPr>
            <w:t>Choose an item.</w:t>
          </w:r>
        </w:p>
      </w:docPartBody>
    </w:docPart>
    <w:docPart>
      <w:docPartPr>
        <w:name w:val="B44E404B1B0B4D74A5B20C1C810F9A78"/>
        <w:category>
          <w:name w:val="General"/>
          <w:gallery w:val="placeholder"/>
        </w:category>
        <w:types>
          <w:type w:val="bbPlcHdr"/>
        </w:types>
        <w:behaviors>
          <w:behavior w:val="content"/>
        </w:behaviors>
        <w:guid w:val="{E46153C3-AE13-46CA-AB80-22D0B43D4AF4}"/>
      </w:docPartPr>
      <w:docPartBody>
        <w:p w:rsidR="00A33DED" w:rsidRDefault="00D71A40">
          <w:pPr>
            <w:pStyle w:val="B44E404B1B0B4D74A5B20C1C810F9A78"/>
          </w:pPr>
          <w:r w:rsidRPr="000C12B9">
            <w:rPr>
              <w:rStyle w:val="PlaceholderText"/>
            </w:rPr>
            <w:t>Choose an item.</w:t>
          </w:r>
        </w:p>
      </w:docPartBody>
    </w:docPart>
    <w:docPart>
      <w:docPartPr>
        <w:name w:val="91D8649CC6E34C2289053F7C3B2BD9FA"/>
        <w:category>
          <w:name w:val="General"/>
          <w:gallery w:val="placeholder"/>
        </w:category>
        <w:types>
          <w:type w:val="bbPlcHdr"/>
        </w:types>
        <w:behaviors>
          <w:behavior w:val="content"/>
        </w:behaviors>
        <w:guid w:val="{52BBDE29-A004-49F4-96F2-271C9C71E3B6}"/>
      </w:docPartPr>
      <w:docPartBody>
        <w:p w:rsidR="00A33DED" w:rsidRDefault="00D71A40">
          <w:pPr>
            <w:pStyle w:val="91D8649CC6E34C2289053F7C3B2BD9FA"/>
          </w:pPr>
          <w:r w:rsidRPr="00171CF3">
            <w:rPr>
              <w:rStyle w:val="PlaceholderText"/>
            </w:rPr>
            <w:t>Click here to enter a date.</w:t>
          </w:r>
        </w:p>
      </w:docPartBody>
    </w:docPart>
    <w:docPart>
      <w:docPartPr>
        <w:name w:val="6AAF92C5EC114DDF80F0DD89CF58C9AA"/>
        <w:category>
          <w:name w:val="General"/>
          <w:gallery w:val="placeholder"/>
        </w:category>
        <w:types>
          <w:type w:val="bbPlcHdr"/>
        </w:types>
        <w:behaviors>
          <w:behavior w:val="content"/>
        </w:behaviors>
        <w:guid w:val="{AC961BB5-1506-493D-B5DA-B2A0FEC0A74A}"/>
      </w:docPartPr>
      <w:docPartBody>
        <w:p w:rsidR="00A33DED" w:rsidRDefault="00D71A40">
          <w:pPr>
            <w:pStyle w:val="6AAF92C5EC114DDF80F0DD89CF58C9AA"/>
          </w:pPr>
          <w:r w:rsidRPr="000C12B9">
            <w:rPr>
              <w:rStyle w:val="PlaceholderText"/>
            </w:rPr>
            <w:t>Choose an item.</w:t>
          </w:r>
        </w:p>
      </w:docPartBody>
    </w:docPart>
    <w:docPart>
      <w:docPartPr>
        <w:name w:val="BE2BAEEA31D34BBD891E9FE50BDE3AA9"/>
        <w:category>
          <w:name w:val="General"/>
          <w:gallery w:val="placeholder"/>
        </w:category>
        <w:types>
          <w:type w:val="bbPlcHdr"/>
        </w:types>
        <w:behaviors>
          <w:behavior w:val="content"/>
        </w:behaviors>
        <w:guid w:val="{DE06F751-387F-4388-A98A-8CCBFEA4C878}"/>
      </w:docPartPr>
      <w:docPartBody>
        <w:p w:rsidR="00A33DED" w:rsidRDefault="00D71A40">
          <w:pPr>
            <w:pStyle w:val="BE2BAEEA31D34BBD891E9FE50BDE3AA9"/>
          </w:pPr>
          <w:r w:rsidRPr="000C12B9">
            <w:rPr>
              <w:rStyle w:val="PlaceholderText"/>
            </w:rPr>
            <w:t>Choose an item.</w:t>
          </w:r>
        </w:p>
      </w:docPartBody>
    </w:docPart>
    <w:docPart>
      <w:docPartPr>
        <w:name w:val="DF43FECD3B484AD68F3DEC23C4806C19"/>
        <w:category>
          <w:name w:val="General"/>
          <w:gallery w:val="placeholder"/>
        </w:category>
        <w:types>
          <w:type w:val="bbPlcHdr"/>
        </w:types>
        <w:behaviors>
          <w:behavior w:val="content"/>
        </w:behaviors>
        <w:guid w:val="{26246C0F-34E2-463F-9BE6-A19BA1B5E1B5}"/>
      </w:docPartPr>
      <w:docPartBody>
        <w:p w:rsidR="00A33DED" w:rsidRDefault="00D71A40">
          <w:pPr>
            <w:pStyle w:val="DF43FECD3B484AD68F3DEC23C4806C19"/>
          </w:pPr>
          <w:r w:rsidRPr="000C12B9">
            <w:rPr>
              <w:rStyle w:val="PlaceholderText"/>
            </w:rPr>
            <w:t>Choose an item.</w:t>
          </w:r>
        </w:p>
      </w:docPartBody>
    </w:docPart>
    <w:docPart>
      <w:docPartPr>
        <w:name w:val="C78CEED4A2564CBCAF74D818FD711CA4"/>
        <w:category>
          <w:name w:val="General"/>
          <w:gallery w:val="placeholder"/>
        </w:category>
        <w:types>
          <w:type w:val="bbPlcHdr"/>
        </w:types>
        <w:behaviors>
          <w:behavior w:val="content"/>
        </w:behaviors>
        <w:guid w:val="{C8EF4CE2-680F-4EBD-A0A7-0F50A348068C}"/>
      </w:docPartPr>
      <w:docPartBody>
        <w:p w:rsidR="00A33DED" w:rsidRDefault="00D71A40">
          <w:pPr>
            <w:pStyle w:val="C78CEED4A2564CBCAF74D818FD711CA4"/>
          </w:pPr>
          <w:r w:rsidRPr="000C12B9">
            <w:rPr>
              <w:rStyle w:val="PlaceholderText"/>
            </w:rPr>
            <w:t>Choose an item.</w:t>
          </w:r>
        </w:p>
      </w:docPartBody>
    </w:docPart>
    <w:docPart>
      <w:docPartPr>
        <w:name w:val="A64C69E2DCA346568457C0842BCF90B5"/>
        <w:category>
          <w:name w:val="General"/>
          <w:gallery w:val="placeholder"/>
        </w:category>
        <w:types>
          <w:type w:val="bbPlcHdr"/>
        </w:types>
        <w:behaviors>
          <w:behavior w:val="content"/>
        </w:behaviors>
        <w:guid w:val="{23EA4FDE-BFB0-4F5B-990F-95A6F6861077}"/>
      </w:docPartPr>
      <w:docPartBody>
        <w:p w:rsidR="00A33DED" w:rsidRDefault="00D71A40">
          <w:pPr>
            <w:pStyle w:val="A64C69E2DCA346568457C0842BCF90B5"/>
          </w:pPr>
          <w:r w:rsidRPr="000C12B9">
            <w:rPr>
              <w:rStyle w:val="PlaceholderText"/>
            </w:rPr>
            <w:t>Click here to enter a date.</w:t>
          </w:r>
        </w:p>
      </w:docPartBody>
    </w:docPart>
    <w:docPart>
      <w:docPartPr>
        <w:name w:val="C6B3106D885F4459ACBD5FAFC1BB54EF"/>
        <w:category>
          <w:name w:val="General"/>
          <w:gallery w:val="placeholder"/>
        </w:category>
        <w:types>
          <w:type w:val="bbPlcHdr"/>
        </w:types>
        <w:behaviors>
          <w:behavior w:val="content"/>
        </w:behaviors>
        <w:guid w:val="{9950E6A3-3366-48F0-8274-32DE30A46840}"/>
      </w:docPartPr>
      <w:docPartBody>
        <w:p w:rsidR="00000000" w:rsidRDefault="00E6783C" w:rsidP="00E6783C">
          <w:pPr>
            <w:pStyle w:val="C6B3106D885F4459ACBD5FAFC1BB54EF"/>
          </w:pPr>
          <w:r w:rsidRPr="00171CF3">
            <w:rPr>
              <w:rStyle w:val="PlaceholderText"/>
            </w:rPr>
            <w:t>Click here to enter a date.</w:t>
          </w:r>
        </w:p>
      </w:docPartBody>
    </w:docPart>
    <w:docPart>
      <w:docPartPr>
        <w:name w:val="76108CEDBDC843578D6808B31D31205D"/>
        <w:category>
          <w:name w:val="General"/>
          <w:gallery w:val="placeholder"/>
        </w:category>
        <w:types>
          <w:type w:val="bbPlcHdr"/>
        </w:types>
        <w:behaviors>
          <w:behavior w:val="content"/>
        </w:behaviors>
        <w:guid w:val="{26004413-1184-4B23-9440-346A988C2516}"/>
      </w:docPartPr>
      <w:docPartBody>
        <w:p w:rsidR="00000000" w:rsidRDefault="00E6783C" w:rsidP="00E6783C">
          <w:pPr>
            <w:pStyle w:val="76108CEDBDC843578D6808B31D31205D"/>
          </w:pPr>
          <w:r w:rsidRPr="00171CF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A40"/>
    <w:rsid w:val="00A33DED"/>
    <w:rsid w:val="00D71A40"/>
    <w:rsid w:val="00E67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83C"/>
    <w:rPr>
      <w:color w:val="808080"/>
    </w:rPr>
  </w:style>
  <w:style w:type="paragraph" w:customStyle="1" w:styleId="175A235C16B44BB4BD96E2FD20339A36">
    <w:name w:val="175A235C16B44BB4BD96E2FD20339A36"/>
  </w:style>
  <w:style w:type="paragraph" w:customStyle="1" w:styleId="105B4DC2694C40DD8C4E0D1E4B9131FD">
    <w:name w:val="105B4DC2694C40DD8C4E0D1E4B9131FD"/>
  </w:style>
  <w:style w:type="paragraph" w:customStyle="1" w:styleId="099D9474D90B47DF8776963A09DCA4DB">
    <w:name w:val="099D9474D90B47DF8776963A09DCA4DB"/>
  </w:style>
  <w:style w:type="paragraph" w:customStyle="1" w:styleId="9EB2EB79E6F94473A5F3E71893F1CFC7">
    <w:name w:val="9EB2EB79E6F94473A5F3E71893F1CFC7"/>
  </w:style>
  <w:style w:type="paragraph" w:customStyle="1" w:styleId="63C12EBCFF3349D5B60386276E201F35">
    <w:name w:val="63C12EBCFF3349D5B60386276E201F35"/>
  </w:style>
  <w:style w:type="paragraph" w:customStyle="1" w:styleId="4B3ED062EB764225A6C92CA9C9C022B4">
    <w:name w:val="4B3ED062EB764225A6C92CA9C9C022B4"/>
  </w:style>
  <w:style w:type="paragraph" w:customStyle="1" w:styleId="B44E404B1B0B4D74A5B20C1C810F9A78">
    <w:name w:val="B44E404B1B0B4D74A5B20C1C810F9A78"/>
  </w:style>
  <w:style w:type="paragraph" w:customStyle="1" w:styleId="91D8649CC6E34C2289053F7C3B2BD9FA">
    <w:name w:val="91D8649CC6E34C2289053F7C3B2BD9FA"/>
  </w:style>
  <w:style w:type="paragraph" w:customStyle="1" w:styleId="6AAF92C5EC114DDF80F0DD89CF58C9AA">
    <w:name w:val="6AAF92C5EC114DDF80F0DD89CF58C9AA"/>
  </w:style>
  <w:style w:type="paragraph" w:customStyle="1" w:styleId="0AA759FBFAFF4357B03AC7C909E51419">
    <w:name w:val="0AA759FBFAFF4357B03AC7C909E51419"/>
  </w:style>
  <w:style w:type="paragraph" w:customStyle="1" w:styleId="BE2BAEEA31D34BBD891E9FE50BDE3AA9">
    <w:name w:val="BE2BAEEA31D34BBD891E9FE50BDE3AA9"/>
  </w:style>
  <w:style w:type="paragraph" w:customStyle="1" w:styleId="DF43FECD3B484AD68F3DEC23C4806C19">
    <w:name w:val="DF43FECD3B484AD68F3DEC23C4806C19"/>
  </w:style>
  <w:style w:type="paragraph" w:customStyle="1" w:styleId="C78CEED4A2564CBCAF74D818FD711CA4">
    <w:name w:val="C78CEED4A2564CBCAF74D818FD711CA4"/>
  </w:style>
  <w:style w:type="paragraph" w:customStyle="1" w:styleId="9A3FE47941964934B5F9821D5450D832">
    <w:name w:val="9A3FE47941964934B5F9821D5450D832"/>
  </w:style>
  <w:style w:type="paragraph" w:customStyle="1" w:styleId="5D01199CAAE6469BB20D275AD045F97D">
    <w:name w:val="5D01199CAAE6469BB20D275AD045F97D"/>
  </w:style>
  <w:style w:type="paragraph" w:customStyle="1" w:styleId="A64C69E2DCA346568457C0842BCF90B5">
    <w:name w:val="A64C69E2DCA346568457C0842BCF90B5"/>
  </w:style>
  <w:style w:type="paragraph" w:customStyle="1" w:styleId="44D7F34E80464DFCB690DA4CF163EC35">
    <w:name w:val="44D7F34E80464DFCB690DA4CF163EC35"/>
  </w:style>
  <w:style w:type="paragraph" w:customStyle="1" w:styleId="02738845257D4A9E89C8F7726F88D486">
    <w:name w:val="02738845257D4A9E89C8F7726F88D486"/>
  </w:style>
  <w:style w:type="paragraph" w:customStyle="1" w:styleId="F7B4F95EFB08467DAAFFF5C456C63EC8">
    <w:name w:val="F7B4F95EFB08467DAAFFF5C456C63EC8"/>
    <w:rsid w:val="00D71A40"/>
  </w:style>
  <w:style w:type="paragraph" w:customStyle="1" w:styleId="633D4888DA464A19816254A0144489FA">
    <w:name w:val="633D4888DA464A19816254A0144489FA"/>
    <w:rsid w:val="00D71A40"/>
  </w:style>
  <w:style w:type="paragraph" w:customStyle="1" w:styleId="4D8B527482484AD1ABE69596B3CB9C73">
    <w:name w:val="4D8B527482484AD1ABE69596B3CB9C73"/>
    <w:rsid w:val="00D71A40"/>
  </w:style>
  <w:style w:type="paragraph" w:customStyle="1" w:styleId="7B363638F4E84B66BE47E20716E95116">
    <w:name w:val="7B363638F4E84B66BE47E20716E95116"/>
    <w:rsid w:val="00D71A40"/>
  </w:style>
  <w:style w:type="paragraph" w:customStyle="1" w:styleId="073D346BC5D146A087C5A53F67AADB16">
    <w:name w:val="073D346BC5D146A087C5A53F67AADB16"/>
    <w:rsid w:val="00D71A40"/>
  </w:style>
  <w:style w:type="paragraph" w:customStyle="1" w:styleId="FA8D6303677A4DDC91F49798DD3BB277">
    <w:name w:val="FA8D6303677A4DDC91F49798DD3BB277"/>
    <w:rsid w:val="00D71A40"/>
  </w:style>
  <w:style w:type="paragraph" w:customStyle="1" w:styleId="A75DEF795E404A02A2E6712AA119797F">
    <w:name w:val="A75DEF795E404A02A2E6712AA119797F"/>
    <w:rsid w:val="00D71A40"/>
  </w:style>
  <w:style w:type="paragraph" w:customStyle="1" w:styleId="0B983FCDB2CE48778CC00E296454774D">
    <w:name w:val="0B983FCDB2CE48778CC00E296454774D"/>
    <w:rsid w:val="00D71A40"/>
  </w:style>
  <w:style w:type="paragraph" w:customStyle="1" w:styleId="7A3B64B917AB45D7812EAB01DC48990F">
    <w:name w:val="7A3B64B917AB45D7812EAB01DC48990F"/>
    <w:rsid w:val="00D71A40"/>
  </w:style>
  <w:style w:type="paragraph" w:customStyle="1" w:styleId="5332EBC36E57402796689E1E32BDCD80">
    <w:name w:val="5332EBC36E57402796689E1E32BDCD80"/>
    <w:rsid w:val="00E6783C"/>
  </w:style>
  <w:style w:type="paragraph" w:customStyle="1" w:styleId="19C3197C866C41CB9211734620C9C4BE">
    <w:name w:val="19C3197C866C41CB9211734620C9C4BE"/>
    <w:rsid w:val="00E6783C"/>
  </w:style>
  <w:style w:type="paragraph" w:customStyle="1" w:styleId="D53AA4F7925E41B18B7784E8EBBA947A">
    <w:name w:val="D53AA4F7925E41B18B7784E8EBBA947A"/>
    <w:rsid w:val="00E6783C"/>
  </w:style>
  <w:style w:type="paragraph" w:customStyle="1" w:styleId="BD959A4A49424A51BB6B7EE8F5FDEB3F">
    <w:name w:val="BD959A4A49424A51BB6B7EE8F5FDEB3F"/>
    <w:rsid w:val="00E6783C"/>
  </w:style>
  <w:style w:type="paragraph" w:customStyle="1" w:styleId="C6B3106D885F4459ACBD5FAFC1BB54EF">
    <w:name w:val="C6B3106D885F4459ACBD5FAFC1BB54EF"/>
    <w:rsid w:val="00E6783C"/>
  </w:style>
  <w:style w:type="paragraph" w:customStyle="1" w:styleId="76108CEDBDC843578D6808B31D31205D">
    <w:name w:val="76108CEDBDC843578D6808B31D31205D"/>
    <w:rsid w:val="00E6783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83C"/>
    <w:rPr>
      <w:color w:val="808080"/>
    </w:rPr>
  </w:style>
  <w:style w:type="paragraph" w:customStyle="1" w:styleId="175A235C16B44BB4BD96E2FD20339A36">
    <w:name w:val="175A235C16B44BB4BD96E2FD20339A36"/>
  </w:style>
  <w:style w:type="paragraph" w:customStyle="1" w:styleId="105B4DC2694C40DD8C4E0D1E4B9131FD">
    <w:name w:val="105B4DC2694C40DD8C4E0D1E4B9131FD"/>
  </w:style>
  <w:style w:type="paragraph" w:customStyle="1" w:styleId="099D9474D90B47DF8776963A09DCA4DB">
    <w:name w:val="099D9474D90B47DF8776963A09DCA4DB"/>
  </w:style>
  <w:style w:type="paragraph" w:customStyle="1" w:styleId="9EB2EB79E6F94473A5F3E71893F1CFC7">
    <w:name w:val="9EB2EB79E6F94473A5F3E71893F1CFC7"/>
  </w:style>
  <w:style w:type="paragraph" w:customStyle="1" w:styleId="63C12EBCFF3349D5B60386276E201F35">
    <w:name w:val="63C12EBCFF3349D5B60386276E201F35"/>
  </w:style>
  <w:style w:type="paragraph" w:customStyle="1" w:styleId="4B3ED062EB764225A6C92CA9C9C022B4">
    <w:name w:val="4B3ED062EB764225A6C92CA9C9C022B4"/>
  </w:style>
  <w:style w:type="paragraph" w:customStyle="1" w:styleId="B44E404B1B0B4D74A5B20C1C810F9A78">
    <w:name w:val="B44E404B1B0B4D74A5B20C1C810F9A78"/>
  </w:style>
  <w:style w:type="paragraph" w:customStyle="1" w:styleId="91D8649CC6E34C2289053F7C3B2BD9FA">
    <w:name w:val="91D8649CC6E34C2289053F7C3B2BD9FA"/>
  </w:style>
  <w:style w:type="paragraph" w:customStyle="1" w:styleId="6AAF92C5EC114DDF80F0DD89CF58C9AA">
    <w:name w:val="6AAF92C5EC114DDF80F0DD89CF58C9AA"/>
  </w:style>
  <w:style w:type="paragraph" w:customStyle="1" w:styleId="0AA759FBFAFF4357B03AC7C909E51419">
    <w:name w:val="0AA759FBFAFF4357B03AC7C909E51419"/>
  </w:style>
  <w:style w:type="paragraph" w:customStyle="1" w:styleId="BE2BAEEA31D34BBD891E9FE50BDE3AA9">
    <w:name w:val="BE2BAEEA31D34BBD891E9FE50BDE3AA9"/>
  </w:style>
  <w:style w:type="paragraph" w:customStyle="1" w:styleId="DF43FECD3B484AD68F3DEC23C4806C19">
    <w:name w:val="DF43FECD3B484AD68F3DEC23C4806C19"/>
  </w:style>
  <w:style w:type="paragraph" w:customStyle="1" w:styleId="C78CEED4A2564CBCAF74D818FD711CA4">
    <w:name w:val="C78CEED4A2564CBCAF74D818FD711CA4"/>
  </w:style>
  <w:style w:type="paragraph" w:customStyle="1" w:styleId="9A3FE47941964934B5F9821D5450D832">
    <w:name w:val="9A3FE47941964934B5F9821D5450D832"/>
  </w:style>
  <w:style w:type="paragraph" w:customStyle="1" w:styleId="5D01199CAAE6469BB20D275AD045F97D">
    <w:name w:val="5D01199CAAE6469BB20D275AD045F97D"/>
  </w:style>
  <w:style w:type="paragraph" w:customStyle="1" w:styleId="A64C69E2DCA346568457C0842BCF90B5">
    <w:name w:val="A64C69E2DCA346568457C0842BCF90B5"/>
  </w:style>
  <w:style w:type="paragraph" w:customStyle="1" w:styleId="44D7F34E80464DFCB690DA4CF163EC35">
    <w:name w:val="44D7F34E80464DFCB690DA4CF163EC35"/>
  </w:style>
  <w:style w:type="paragraph" w:customStyle="1" w:styleId="02738845257D4A9E89C8F7726F88D486">
    <w:name w:val="02738845257D4A9E89C8F7726F88D486"/>
  </w:style>
  <w:style w:type="paragraph" w:customStyle="1" w:styleId="F7B4F95EFB08467DAAFFF5C456C63EC8">
    <w:name w:val="F7B4F95EFB08467DAAFFF5C456C63EC8"/>
    <w:rsid w:val="00D71A40"/>
  </w:style>
  <w:style w:type="paragraph" w:customStyle="1" w:styleId="633D4888DA464A19816254A0144489FA">
    <w:name w:val="633D4888DA464A19816254A0144489FA"/>
    <w:rsid w:val="00D71A40"/>
  </w:style>
  <w:style w:type="paragraph" w:customStyle="1" w:styleId="4D8B527482484AD1ABE69596B3CB9C73">
    <w:name w:val="4D8B527482484AD1ABE69596B3CB9C73"/>
    <w:rsid w:val="00D71A40"/>
  </w:style>
  <w:style w:type="paragraph" w:customStyle="1" w:styleId="7B363638F4E84B66BE47E20716E95116">
    <w:name w:val="7B363638F4E84B66BE47E20716E95116"/>
    <w:rsid w:val="00D71A40"/>
  </w:style>
  <w:style w:type="paragraph" w:customStyle="1" w:styleId="073D346BC5D146A087C5A53F67AADB16">
    <w:name w:val="073D346BC5D146A087C5A53F67AADB16"/>
    <w:rsid w:val="00D71A40"/>
  </w:style>
  <w:style w:type="paragraph" w:customStyle="1" w:styleId="FA8D6303677A4DDC91F49798DD3BB277">
    <w:name w:val="FA8D6303677A4DDC91F49798DD3BB277"/>
    <w:rsid w:val="00D71A40"/>
  </w:style>
  <w:style w:type="paragraph" w:customStyle="1" w:styleId="A75DEF795E404A02A2E6712AA119797F">
    <w:name w:val="A75DEF795E404A02A2E6712AA119797F"/>
    <w:rsid w:val="00D71A40"/>
  </w:style>
  <w:style w:type="paragraph" w:customStyle="1" w:styleId="0B983FCDB2CE48778CC00E296454774D">
    <w:name w:val="0B983FCDB2CE48778CC00E296454774D"/>
    <w:rsid w:val="00D71A40"/>
  </w:style>
  <w:style w:type="paragraph" w:customStyle="1" w:styleId="7A3B64B917AB45D7812EAB01DC48990F">
    <w:name w:val="7A3B64B917AB45D7812EAB01DC48990F"/>
    <w:rsid w:val="00D71A40"/>
  </w:style>
  <w:style w:type="paragraph" w:customStyle="1" w:styleId="5332EBC36E57402796689E1E32BDCD80">
    <w:name w:val="5332EBC36E57402796689E1E32BDCD80"/>
    <w:rsid w:val="00E6783C"/>
  </w:style>
  <w:style w:type="paragraph" w:customStyle="1" w:styleId="19C3197C866C41CB9211734620C9C4BE">
    <w:name w:val="19C3197C866C41CB9211734620C9C4BE"/>
    <w:rsid w:val="00E6783C"/>
  </w:style>
  <w:style w:type="paragraph" w:customStyle="1" w:styleId="D53AA4F7925E41B18B7784E8EBBA947A">
    <w:name w:val="D53AA4F7925E41B18B7784E8EBBA947A"/>
    <w:rsid w:val="00E6783C"/>
  </w:style>
  <w:style w:type="paragraph" w:customStyle="1" w:styleId="BD959A4A49424A51BB6B7EE8F5FDEB3F">
    <w:name w:val="BD959A4A49424A51BB6B7EE8F5FDEB3F"/>
    <w:rsid w:val="00E6783C"/>
  </w:style>
  <w:style w:type="paragraph" w:customStyle="1" w:styleId="C6B3106D885F4459ACBD5FAFC1BB54EF">
    <w:name w:val="C6B3106D885F4459ACBD5FAFC1BB54EF"/>
    <w:rsid w:val="00E6783C"/>
  </w:style>
  <w:style w:type="paragraph" w:customStyle="1" w:styleId="76108CEDBDC843578D6808B31D31205D">
    <w:name w:val="76108CEDBDC843578D6808B31D31205D"/>
    <w:rsid w:val="00E678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Amy">
      <a:dk1>
        <a:sysClr val="windowText" lastClr="000000"/>
      </a:dk1>
      <a:lt1>
        <a:srgbClr val="0000FF"/>
      </a:lt1>
      <a:dk2>
        <a:srgbClr val="FF0000"/>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myStyl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MinutesRtrmt.dotx</Template>
  <TotalTime>548</TotalTime>
  <Pages>8</Pages>
  <Words>2573</Words>
  <Characters>14337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Do a Consent Agenda</vt:lpstr>
    </vt:vector>
  </TitlesOfParts>
  <Company>City of Owosso</Company>
  <LinksUpToDate>false</LinksUpToDate>
  <CharactersWithSpaces>16877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a Consent Agenda</dc:title>
  <dc:creator>Amy K. Kirkland</dc:creator>
  <cp:lastModifiedBy>Amy K. Kirkland</cp:lastModifiedBy>
  <cp:revision>15</cp:revision>
  <cp:lastPrinted>2018-12-04T21:44:00Z</cp:lastPrinted>
  <dcterms:created xsi:type="dcterms:W3CDTF">2018-11-29T20:01:00Z</dcterms:created>
  <dcterms:modified xsi:type="dcterms:W3CDTF">2018-12-04T21:45:00Z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630889372</vt:i4>
  </property>
  <property fmtid="{D5CDD505-2E9C-101B-9397-08002B2CF9AE}" pid="3" name="_EmailSubject">
    <vt:lpwstr>Retirement Board Agenda</vt:lpwstr>
  </property>
  <property fmtid="{D5CDD505-2E9C-101B-9397-08002B2CF9AE}" pid="4" name="_AuthorEmail">
    <vt:lpwstr>gail.schultz@ci.owosso.mi.us</vt:lpwstr>
  </property>
  <property fmtid="{D5CDD505-2E9C-101B-9397-08002B2CF9AE}" pid="5" name="_AuthorEmailDisplayName">
    <vt:lpwstr>Gail L. Schultz</vt:lpwstr>
  </property>
  <property fmtid="{D5CDD505-2E9C-101B-9397-08002B2CF9AE}" pid="6" name="_ReviewingToolsShownOnce">
    <vt:lpwstr/>
  </property>
</Properties>
</file>